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Conservación Museológica y Adaptabilidad ante Cambios</w:t>
      </w:r>
    </w:p>
    <w:p/>
    <w:p>
      <w:pPr/>
      <w:r>
        <w:rPr>
          <w:color w:val="666666"/>
          <w:sz w:val="20"/>
          <w:szCs w:val="20"/>
          <w:i w:val="1"/>
          <w:iCs w:val="1"/>
        </w:rPr>
        <w:t xml:space="preserve">
          Gamificación Estructural | Adaptabilidad y Aprendizaje Continuo | Adaptabilidad frente a cambios y desafíos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1256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6036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6AA8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02BAE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995AE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993B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8413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A19C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F6775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CAEA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511B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2026-10-01T09:58:55-05:00</dcterms:created>
  <dcterms:modified xsi:type="dcterms:W3CDTF">2026-10-01T09:58:55-05:00</dcterms:modified>
</cp:coreProperties>
</file>

<file path=docProps/custom.xml><?xml version="1.0" encoding="utf-8"?>
<Properties xmlns="http://schemas.openxmlformats.org/officeDocument/2006/custom-properties" xmlns:vt="http://schemas.openxmlformats.org/officeDocument/2006/docPropsVTypes"/>
</file>