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Bacteriana: Identificando bacterias comunes a través de la Gamificación Estructural</w:t>
      </w:r>
    </w:p>
    <w:p/>
    <w:p>
      <w:pPr/>
      <w:r>
        <w:rPr>
          <w:color w:val="666666"/>
          <w:sz w:val="20"/>
          <w:szCs w:val="20"/>
          <w:i w:val="1"/>
          <w:iCs w:val="1"/>
        </w:rPr>
        <w:t xml:space="preserve">
          Gamificación Estructural | Ciencias de la Salud | Bacteriología y laboratorio clínico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2FC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4DD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4A7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6A5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D61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1F6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A64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E72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950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518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C12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2026-10-01T10:06:56-05:00</dcterms:created>
  <dcterms:modified xsi:type="dcterms:W3CDTF">2026-10-01T10:06:56-05:00</dcterms:modified>
</cp:coreProperties>
</file>

<file path=docProps/custom.xml><?xml version="1.0" encoding="utf-8"?>
<Properties xmlns="http://schemas.openxmlformats.org/officeDocument/2006/custom-properties" xmlns:vt="http://schemas.openxmlformats.org/officeDocument/2006/docPropsVTypes"/>
</file>