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Plan Gamificado de Imagen Corporativa: Branding Quest de 20 Semanas</w:t></w:r></w:p><w:p/><w:p><w:pPr/><w:r><w:rPr><w:color w:val="666666"/><w:sz w:val="20"/><w:szCs w:val="20"/><w:i w:val="1"/><w:iCs w:val="1"/></w:rPr><w:t xml:space="preserve">Gamificación de Contenido | Economía, Administración & Contaduría | Marketing y publicidad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C1A6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7E99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9DC8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1EE7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7F2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E46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E08A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91B7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C35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6DC5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849A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2026-10-01T09:27:58-05:00</dcterms:created>
  <dcterms:modified xsi:type="dcterms:W3CDTF">2026-10-01T09:27:58-05:00</dcterms:modified>
</cp:coreProperties>
</file>

<file path=docProps/custom.xml><?xml version="1.0" encoding="utf-8"?>
<Properties xmlns="http://schemas.openxmlformats.org/officeDocument/2006/custom-properties" xmlns:vt="http://schemas.openxmlformats.org/officeDocument/2006/docPropsVTypes"/>
</file>