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Comunicación Asertiva y Análisis Crítico de Drogas</w:t>
      </w:r>
    </w:p>
    <w:p/>
    <w:p>
      <w:pPr/>
      <w:r>
        <w:rPr>
          <w:color w:val="666666"/>
          <w:sz w:val="20"/>
          <w:szCs w:val="20"/>
          <w:i w:val="1"/>
          <w:iCs w:val="1"/>
        </w:rPr>
        <w:t xml:space="preserve">
          Gamificación de Evaluación | Persona y sociedad | Comunicación asertiva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EDC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AF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898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2A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7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98D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962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44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1D4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CA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04A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2026-10-01T09:08:41-05:00</dcterms:created>
  <dcterms:modified xsi:type="dcterms:W3CDTF">2026-10-01T09:08:41-05:00</dcterms:modified>
</cp:coreProperties>
</file>

<file path=docProps/custom.xml><?xml version="1.0" encoding="utf-8"?>
<Properties xmlns="http://schemas.openxmlformats.org/officeDocument/2006/custom-properties" xmlns:vt="http://schemas.openxmlformats.org/officeDocument/2006/docPropsVTypes"/>
</file>