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Roma Viva: Construyendo Casos Jurídicos desde las Instituciones Romanas hacia el Derecho Contemporáneo</w:t>
      </w:r>
    </w:p>
    <w:p/>
    <w:p>
      <w:pPr/>
      <w:r>
        <w:rPr>
          <w:color w:val="666666"/>
          <w:sz w:val="20"/>
          <w:szCs w:val="20"/>
          <w:i w:val="1"/>
          <w:iCs w:val="1"/>
        </w:rPr>
        <w:t xml:space="preserve">
          Gamificación Progresiva | Ciencias Sociales y Humanas | Derecho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7CCC740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430ED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0C32C4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814D022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5300E84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88358B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8E5CFC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CDC3938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C35147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D016FA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7A1CD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2026-10-01T08:58:01-05:00</dcterms:created>
  <dcterms:modified xsi:type="dcterms:W3CDTF">2026-10-01T08:58:01-05:00</dcterms:modified>
</cp:coreProperties>
</file>

<file path=docProps/custom.xml><?xml version="1.0" encoding="utf-8"?>
<Properties xmlns="http://schemas.openxmlformats.org/officeDocument/2006/custom-properties" xmlns:vt="http://schemas.openxmlformats.org/officeDocument/2006/docPropsVTypes"/>
</file>