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Batalla de Talentos: Reclutamiento en Juego — Gestión del Talento Humano</w:t></w:r></w:p><w:p/><w:p><w:pPr/><w:r><w:rPr><w:color w:val="666666"/><w:sz w:val="20"/><w:szCs w:val="20"/><w:i w:val="1"/><w:iCs w:val="1"/></w:rPr><w:t xml:space="preserve">Gamificación de Estructura con Competencias Colaborativas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9FE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550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464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53C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86D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3E4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15F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64B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35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194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E05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2026-10-01T08:00:19-05:00</dcterms:created>
  <dcterms:modified xsi:type="dcterms:W3CDTF">2026-10-01T08:00:19-05:00</dcterms:modified>
</cp:coreProperties>
</file>

<file path=docProps/custom.xml><?xml version="1.0" encoding="utf-8"?>
<Properties xmlns="http://schemas.openxmlformats.org/officeDocument/2006/custom-properties" xmlns:vt="http://schemas.openxmlformats.org/officeDocument/2006/docPropsVTypes"/>
</file>