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InmunoEquipo: Casos Clínicos para Dominar la Inmunología</w:t>
      </w:r>
    </w:p>
    <w:p/>
    <w:p>
      <w:pPr/>
      <w:r>
        <w:rPr>
          <w:color w:val="666666"/>
          <w:sz w:val="20"/>
          <w:szCs w:val="20"/>
          <w:i w:val="1"/>
          <w:iCs w:val="1"/>
        </w:rPr>
        <w:t xml:space="preserve">
          Gamificación Social | Ciencias de la Salud | Medicina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FEA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689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9B7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216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681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12A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AF1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507A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C7B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F9D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8C3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2026-10-01T06:40:51-05:00</dcterms:created>
  <dcterms:modified xsi:type="dcterms:W3CDTF">2026-10-01T06:40:51-05:00</dcterms:modified>
</cp:coreProperties>
</file>

<file path=docProps/custom.xml><?xml version="1.0" encoding="utf-8"?>
<Properties xmlns="http://schemas.openxmlformats.org/officeDocument/2006/custom-properties" xmlns:vt="http://schemas.openxmlformats.org/officeDocument/2006/docPropsVTypes"/>
</file>