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Cumbre de Financiación: Crea, Decide y Lidera tu Empresa</w:t>
      </w:r>
    </w:p>
    <w:p/>
    <w:p>
      <w:pPr/>
      <w:r>
        <w:rPr>
          <w:color w:val="666666"/>
          <w:sz w:val="20"/>
          <w:szCs w:val="20"/>
          <w:i w:val="1"/>
          <w:iCs w:val="1"/>
        </w:rPr>
        <w:t xml:space="preserve">
          Gamificación Completa con Simulación Empresarial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B1C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36D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757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811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F12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2DB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F9D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F18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C8A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0F7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DED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2026-10-01T06:09:36-05:00</dcterms:created>
  <dcterms:modified xsi:type="dcterms:W3CDTF">2026-10-01T06:09:36-05:00</dcterms:modified>
</cp:coreProperties>
</file>

<file path=docProps/custom.xml><?xml version="1.0" encoding="utf-8"?>
<Properties xmlns="http://schemas.openxmlformats.org/officeDocument/2006/custom-properties" xmlns:vt="http://schemas.openxmlformats.org/officeDocument/2006/docPropsVTypes"/>
</file>