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Jóvenes al Viento: Tendencias del Turismo Juvenil para Sucre</w:t></w:r></w:p><w:p/><w:p><w:pPr/><w:r><w:rPr><w:color w:val="666666"/><w:sz w:val="20"/><w:szCs w:val="20"/><w:i w:val="1"/><w:iCs w:val="1"/></w:rPr><w:t xml:space="preserve">Gamificación de Contenido | Economía, Administración & Contaduría | Hotelería y turismo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9FA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6FF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A26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1B0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8A9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189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372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91C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A2E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726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9CB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2026-10-01T05:17:07-05:00</dcterms:created>
  <dcterms:modified xsi:type="dcterms:W3CDTF">2026-10-01T05:17:07-05:00</dcterms:modified>
</cp:coreProperties>
</file>

<file path=docProps/custom.xml><?xml version="1.0" encoding="utf-8"?>
<Properties xmlns="http://schemas.openxmlformats.org/officeDocument/2006/custom-properties" xmlns:vt="http://schemas.openxmlformats.org/officeDocument/2006/docPropsVTypes"/>
</file>