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de las Letras: El Tablero Gigante de la Comunicación</w:t>
      </w:r>
    </w:p>
    <w:p/>
    <w:p>
      <w:pPr/>
      <w:r>
        <w:rPr>
          <w:color w:val="666666"/>
          <w:sz w:val="20"/>
          <w:szCs w:val="20"/>
          <w:i w:val="1"/>
          <w:iCs w:val="1"/>
        </w:rPr>
        <w:t xml:space="preserve">
          Gamificación Estructural | Persona y sociedad | Creatividad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C72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6D5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AEF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992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61C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9FA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E6E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26D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0E9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8AA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02E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2026-10-01T03:33:18-05:00</dcterms:created>
  <dcterms:modified xsi:type="dcterms:W3CDTF">2026-10-01T03:33:18-05:00</dcterms:modified>
</cp:coreProperties>
</file>

<file path=docProps/custom.xml><?xml version="1.0" encoding="utf-8"?>
<Properties xmlns="http://schemas.openxmlformats.org/officeDocument/2006/custom-properties" xmlns:vt="http://schemas.openxmlformats.org/officeDocument/2006/docPropsVTypes"/>
</file>