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en las Razones Trigonométricas: Subiendo de Nivel con Seno, Coseno y Tangente</w:t>
      </w:r>
    </w:p>
    <w:p/>
    <w:p>
      <w:pPr/>
      <w:r>
        <w:rPr>
          <w:color w:val="666666"/>
          <w:sz w:val="20"/>
          <w:szCs w:val="20"/>
          <w:i w:val="1"/>
          <w:iCs w:val="1"/>
        </w:rPr>
        <w:t xml:space="preserve">
          Gamificación Estructural | Matemáticas | Trigonometría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06009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4B648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B034A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9B2D3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7A47E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AC3B9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69375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9C469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344B1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36ABA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0FEAF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2026-10-01T01:51:26-05:00</dcterms:created>
  <dcterms:modified xsi:type="dcterms:W3CDTF">2026-10-01T01:51:26-05:00</dcterms:modified>
</cp:coreProperties>
</file>

<file path=docProps/custom.xml><?xml version="1.0" encoding="utf-8"?>
<Properties xmlns="http://schemas.openxmlformats.org/officeDocument/2006/custom-properties" xmlns:vt="http://schemas.openxmlformats.org/officeDocument/2006/docPropsVTypes"/>
</file>