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Diagnóstico Literario a través de una Campaña Digital</w:t>
      </w:r>
    </w:p>
    <w:p/>
    <w:p>
      <w:pPr/>
      <w:r>
        <w:rPr>
          <w:color w:val="666666"/>
          <w:sz w:val="20"/>
          <w:szCs w:val="20"/>
          <w:i w:val="1"/>
          <w:iCs w:val="1"/>
        </w:rPr>
        <w:t xml:space="preserve">
          Gamificación Completa | Ciencias Sociales y Humanas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688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EF2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514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FA2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981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037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339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8B8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0F7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6D5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0D1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2026-10-01T01:29:31-05:00</dcterms:created>
  <dcterms:modified xsi:type="dcterms:W3CDTF">2026-10-01T01:29:31-05:00</dcterms:modified>
</cp:coreProperties>
</file>

<file path=docProps/custom.xml><?xml version="1.0" encoding="utf-8"?>
<Properties xmlns="http://schemas.openxmlformats.org/officeDocument/2006/custom-properties" xmlns:vt="http://schemas.openxmlformats.org/officeDocument/2006/docPropsVTypes"/>
</file>