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Misión Ética Laboral</w:t>
      </w:r>
    </w:p>
    <w:p/>
    <w:p>
      <w:pPr/>
      <w:r>
        <w:rPr>
          <w:color w:val="666666"/>
          <w:sz w:val="20"/>
          <w:szCs w:val="20"/>
          <w:i w:val="1"/>
          <w:iCs w:val="1"/>
        </w:rPr>
        <w:t xml:space="preserve">
          Gamificación de Contenido | Ética y Valores | Ética y valores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1901D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1768E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C452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D41BC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C46E1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D826A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7687E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2D733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C97DA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F4B75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6C013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2026-10-01T00:44:32-05:00</dcterms:created>
  <dcterms:modified xsi:type="dcterms:W3CDTF">2026-10-01T00:44:32-05:00</dcterms:modified>
</cp:coreProperties>
</file>

<file path=docProps/custom.xml><?xml version="1.0" encoding="utf-8"?>
<Properties xmlns="http://schemas.openxmlformats.org/officeDocument/2006/custom-properties" xmlns:vt="http://schemas.openxmlformats.org/officeDocument/2006/docPropsVTypes"/>
</file>