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Agua para Todos — Prototipos Sustentables de Potabilización en Contextos Rurales</w:t>
      </w:r>
    </w:p>
    <w:p/>
    <w:p>
      <w:pPr/>
      <w:r>
        <w:rPr>
          <w:color w:val="666666"/>
          <w:sz w:val="20"/>
          <w:szCs w:val="20"/>
          <w:i w:val="1"/>
          <w:iCs w:val="1"/>
        </w:rPr>
        <w:t xml:space="preserve">
          Gamificación Social | Ingeniería | Ingeniería ambiental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FBB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F93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EA7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A40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C17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883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337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EBE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8F1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7A7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082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2026-10-01T00:21:19-05:00</dcterms:created>
  <dcterms:modified xsi:type="dcterms:W3CDTF">2026-10-01T00:21:19-05:00</dcterms:modified>
</cp:coreProperties>
</file>

<file path=docProps/custom.xml><?xml version="1.0" encoding="utf-8"?>
<Properties xmlns="http://schemas.openxmlformats.org/officeDocument/2006/custom-properties" xmlns:vt="http://schemas.openxmlformats.org/officeDocument/2006/docPropsVTypes"/>
</file>