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de Conjuntos: El Caso de los Elementos Perdidos</w:t>
      </w:r>
    </w:p>
    <w:p/>
    <w:p>
      <w:pPr/>
      <w:r>
        <w:rPr>
          <w:color w:val="666666"/>
          <w:sz w:val="20"/>
          <w:szCs w:val="20"/>
          <w:i w:val="1"/>
          <w:iCs w:val="1"/>
        </w:rPr>
        <w:t xml:space="preserve">
          Gamificación Narrativa | Matemáticas | Lógica y Conjuntos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4608E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DDA03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F4CB9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B2109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72FB4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DF1BF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24A4A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ED1B5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DBE45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9C431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CCBB2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2026-09-30T05:15:59-05:00</dcterms:created>
  <dcterms:modified xsi:type="dcterms:W3CDTF">2026-09-30T05:15:59-05:00</dcterms:modified>
</cp:coreProperties>
</file>

<file path=docProps/custom.xml><?xml version="1.0" encoding="utf-8"?>
<Properties xmlns="http://schemas.openxmlformats.org/officeDocument/2006/custom-properties" xmlns:vt="http://schemas.openxmlformats.org/officeDocument/2006/docPropsVTypes"/>
</file>