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Misión Variable: Descubre, Nombra y Domina el Alcance</w:t>
      </w:r>
    </w:p>
    <w:p/>
    <w:p>
      <w:pPr/>
      <w:r>
        <w:rPr>
          <w:color w:val="666666"/>
          <w:sz w:val="20"/>
          <w:szCs w:val="20"/>
          <w:i w:val="1"/>
          <w:iCs w:val="1"/>
        </w:rPr>
        <w:t xml:space="preserve">
          Gamificación de Contenido | Tecnología e Informática | Pensamiento Computacional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33759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B5B32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15FE7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67EA4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12875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65E75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F1359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719A4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A6CA1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B86C5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85854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2026-09-30T05:15:59-05:00</dcterms:created>
  <dcterms:modified xsi:type="dcterms:W3CDTF">2026-09-30T05:15:59-05:00</dcterms:modified>
</cp:coreProperties>
</file>

<file path=docProps/custom.xml><?xml version="1.0" encoding="utf-8"?>
<Properties xmlns="http://schemas.openxmlformats.org/officeDocument/2006/custom-properties" xmlns:vt="http://schemas.openxmlformats.org/officeDocument/2006/docPropsVTypes"/>
</file>