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Biocultural: Desafíos y Progresiones para un Turismo Responsable</w:t>
      </w:r>
    </w:p>
    <w:p/>
    <w:p>
      <w:pPr/>
      <w:r>
        <w:rPr>
          <w:color w:val="666666"/>
          <w:sz w:val="20"/>
          <w:szCs w:val="20"/>
          <w:i w:val="1"/>
          <w:iCs w:val="1"/>
        </w:rPr>
        <w:t xml:space="preserve">
          Gamificación de Progresión y Desafíos | Adaptabilidad y Aprendizaje Continuo | Adaptabilidad frente a cambios y desafíos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BA7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F94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A2D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7E8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775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91D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7DF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A3C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194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F7C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414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2026-09-30T05:03:32-05:00</dcterms:created>
  <dcterms:modified xsi:type="dcterms:W3CDTF">2026-09-30T05:03:32-05:00</dcterms:modified>
</cp:coreProperties>
</file>

<file path=docProps/custom.xml><?xml version="1.0" encoding="utf-8"?>
<Properties xmlns="http://schemas.openxmlformats.org/officeDocument/2006/custom-properties" xmlns:vt="http://schemas.openxmlformats.org/officeDocument/2006/docPropsVTypes"/>
</file>