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Embajadores de la Escuela: Misión Participación y Comunicación</w:t>
      </w:r>
    </w:p>
    <w:p/>
    <w:p>
      <w:pPr/>
      <w:r>
        <w:rPr>
          <w:color w:val="666666"/>
          <w:sz w:val="20"/>
          <w:szCs w:val="20"/>
          <w:i w:val="1"/>
          <w:iCs w:val="1"/>
        </w:rPr>
        <w:t xml:space="preserve">
          Gamificación Completa con Narrativa de Misión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C27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E1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AA4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AEB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167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916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A17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05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451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67C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4EB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