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Narrativa Clínica: Decisiones Informadas y Términos Médicos en 16 Semanas</w:t>
      </w:r>
    </w:p>
    <w:p/>
    <w:p>
      <w:pPr/>
      <w:r>
        <w:rPr>
          <w:color w:val="666666"/>
          <w:sz w:val="20"/>
          <w:szCs w:val="20"/>
          <w:i w:val="1"/>
          <w:iCs w:val="1"/>
        </w:rPr>
        <w:t xml:space="preserve">
          Narrativa de Simulación en Situaciones Clínicas | Pensamiento Crítico y Creatividad | Toma de decisiones informada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p>
    <w:p>
      <w:pPr/>
      <w:r>
        <w:rPr/>
        <w:t xml:space="preserve">
Resolución de problemas: enfrentando casos clínicos simulados, los estudiantes deben identificar problemas clave, generar hipótesis, planificar pruebas y seleccionar tratamientos adecuados, justificando every decision with medical terms and evidence.
Toma de decisiones informada: decisiones tomadas solo tras revisión de evidencia, guías clínicas y resultados de pruebas, con explicaciones claras de riesgos y beneficios para el paciente.
Pensamiento crítico y razonamiento clínico: análisis de escenarios complejos, evaluación de diagnósticos diferenciales, y revisión crítica de fuentes de evidencia durante las sesiones de debrief y debates.
Comunicación clínica y empatía: simulaciones de entrevistas con pacientes, explicaciones de planes de tratamiento y manejo de emociones y preocupaciones familiares, con uso correcto de terminología.
Colaboración interprofesional: trabajo en equipos que integran roles médicos, de enfermería, farmacéuticos y otros, con rotación de responsabilidades y gestión de conflictos.
Ética y responsabilidad profesional: discusiones sobre consentimiento, confidencialidad, y dilemas éticos en decisiones de tratamiento dentro de la narrativa.
Aprendizaje autónomo y reflexión: desarrollo de un glosario personal, registro de reflexiones y autoevaluación para mejorar continuamente la comprensión terminológica y clínica.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
Espacio y duración: 16 sesiones de 120 minutos, distribuídas en aula flexible con mesas en cuadrículas para trabajo en equipo y zonas para debate. Asegurar un entorno cómodo para debates y simulaciones.
Herramientas TIC: plataforma de gestión de cursos (LMS) para contenidos, rúbricas y entregas; software de simulación de casos o herramientas de simulación de roles; glosario colaborativo; foros de discusión guiados; grabación de sesiones para revisión y retroalimentación; herramientas de videoconferencia para sesiones de debate si fuera híbrido.
Recursos de terminología: glosario digital compartido; tarjetas de términos (fichas) para repaso rápido; herramientas de pronunciación y lectura en voz alta; diccionarios médicos y bases de datos abiertas para consulta guiada (por ejemplo, terminología, definiciones, etimología).
IA y personalización: chatbots de terminología para práctica individual, generadores de casos para adaptar dificultad a cada grupo, y analítica de aprendizaje para identificar términos que requieren revisión; uso de IA para apoyar debrief con feedback en lenguaje natural y sugerencias de mejora.
Accesibilidad y diversidad: ajustes para estudiantes con necesidades especiales; subtítulos, lecturas accesibles, y opciones de participación para diferentes estilos de aprendizaje; lenguaje claro y explicaciones de terminología compleja.
Evaluación y retroalimentación: rúbricas claras y transparentes; retroalimentación formativa frecuente; oportunidades de revisión de tareas y reentrenamiento de términos; autoevaluaciones y coevaluaciones para promover la metacognición.
Seguridad y ética: pautas para manejo de información sensible en casos simulados, consentimiento informado, confidencialidad, y manejo ético de las interacciones con pacientes virtuales y familiares.
Gestión del tiempo y logística: plan de 16 sesiones con objetivos semanales, distribución equitativa de tiempo para revisión de vocabulario, simulación, y debrief; reservas de recursos y contingencias.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F57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A8F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40E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A2D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87E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384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1A2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E43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EA3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6B5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511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2026-09-30T01:11:52-05:00</dcterms:created>
  <dcterms:modified xsi:type="dcterms:W3CDTF">2026-09-30T01:11:52-05:00</dcterms:modified>
</cp:coreProperties>
</file>

<file path=docProps/custom.xml><?xml version="1.0" encoding="utf-8"?>
<Properties xmlns="http://schemas.openxmlformats.org/officeDocument/2006/custom-properties" xmlns:vt="http://schemas.openxmlformats.org/officeDocument/2006/docPropsVTypes"/>
</file>