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Parabólico: Misión Cuadrática para Domar las Parábolas</w:t>
      </w:r>
    </w:p>
    <w:p/>
    <w:p>
      <w:pPr/>
      <w:r>
        <w:rPr>
          <w:color w:val="666666"/>
          <w:sz w:val="20"/>
          <w:szCs w:val="20"/>
          <w:i w:val="1"/>
          <w:iCs w:val="1"/>
        </w:rPr>
        <w:t xml:space="preserve">
          Gamificación de Contenido | Matemáticas | Trigonometría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diseñar y adaptar tarjetas y rutas de aprendizaje que conecten conceptos abstractos con contextos reales dentro de las misiones.
Resolución de Problemas: afrontar retos progresivos que requieren interpretar, modelar y justificar soluciones usando gráficas y ecuaciones cuadráticas.
Colaboración: trabajo en equipo para completar misiones, distribuir roles, y construir mapas mentales compartidos.
Curiosidad: exploración guiada de aplicaciones reales y preguntas provocadoras que impulsan la indagación y el descubrimiento.
Comunicación Matemática: articulación clara de ideas, explicaciones y justificaciones en formatos orales y escritos, con uso de lenguaje matemático preciso.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Distribución horaria: 4 bloques de 60 minutos cada uno, preferiblemente en días consecutivos de la misma semana.
Espacio y organización: aula con mesas en equipos de 3–4; pizarra digital o proyector; área para circulación de tarjetas físicas; espacio para que cada equipo presente su mapa mental.
Herramientas TIC/IA: Desmos o GeoGebra para gráficas; herramientas de creación de tarjetas (quizlet, Anki, o Google Slides con hipervínculos); Mind mapping (MindMeister, Coggle) para mapas mentales; plataforma de gestión de contenidos (Google Classroom, Teams); chat de IA para hints personalizados si se permite (con supervisión docente).
Evaluación y retroalimentación: rúbrica de desempeño con criterios de gráfica correcta, verificación de vértice e interceptos, interpretación contextual y claridad de explicación. Retroalimentación formativa en cada bloque y retroalimentación final.
Accesibilidad e inclusión: opciones de trabajo en parejas o tríos, adaptaciones para estudiantes con necesidades especiales, materiales en formatos accesibles y tiempos de respuesta flexibles.
Seguridad y ética: uso responsable de herramientas digitales y respeto por el trabajo de otros; protección de datos y consentimiento para el uso de plataformas.
Procedimientos de seguridad de IA: si se usa IA para hints, establecer límites y supervisión para evitar dependencia; promover el pensamiento autónomo.
Rúbrica y evidencia: cada misión genera evidencia (capturas de pantalla, gráficos, ecuaciones, explicaciones escritas) para la evaluación final.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0B8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C47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02C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92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646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A01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49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06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2B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4B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7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01A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2026-09-30T00:31:49-05:00</dcterms:created>
  <dcterms:modified xsi:type="dcterms:W3CDTF">2026-09-30T00:31:49-05:00</dcterms:modified>
</cp:coreProperties>
</file>

<file path=docProps/custom.xml><?xml version="1.0" encoding="utf-8"?>
<Properties xmlns="http://schemas.openxmlformats.org/officeDocument/2006/custom-properties" xmlns:vt="http://schemas.openxmlformats.org/officeDocument/2006/docPropsVTypes"/>
</file>