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movimiento: El rompecabezas de las reacciones</w:t>
      </w:r>
    </w:p>
    <w:p/>
    <w:p>
      <w:pPr/>
      <w:r>
        <w:rPr>
          <w:color w:val="666666"/>
          <w:sz w:val="20"/>
          <w:szCs w:val="20"/>
          <w:i w:val="1"/>
          <w:iCs w:val="1"/>
        </w:rPr>
        <w:t xml:space="preserve">
          Gamificación de Estructura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Pensamiento Crítico: analizar evidencias de reacciones, identificar cambios y conexiones entre manifestaciones y ecuaciones, y evaluar la validez de las interpretaciones dentro del modelo de conservación de la materia.
Comunicación: expresar ideas de forma clara, argumentar explicaciones, defender conclusiones y escuchar críticamente las aportaciones de los compañeros durante las discusiones de grupo.
Curiosidad: plantear hipótesis sobre por qué ocurren determinadas manifestaciones, investigar relaciones entre variables y buscar ejemplos reales que conecten la química con la salud y el medio ambiente.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y organización: distribuir 6 sesiones de 60 minutos en 2 semanas (p. ej., lunes, miércoles y viernes de la primera semana; lunes, miércoles y viernes de la segunda). Mantener bloques de 45 minutos de trabajo en equipo y 15 minutos de retroalimentación y reflexión individual.
Espacio y dinámica: utilizar aula flexible o sala de computadoras para facilitar trabajo en equipo y uso de pantallas para el rompecabezas en línea. Garantizar que haya al menos una pantalla por equipo y acceso a Internet estable.
Herramientas TIC y IA: plataforma de rompecabezas en línea (H5P/LearningApps/Genially) para la construcción y resolución de piezas. Uso de Google Classroom o Teams para distribución de tareas, rúbricas y retroalimentación. Utilizar herramientas de IA con fines educativos para retroalimentación individualizada y explicación adicional (p. ej., generación de explicaciones cortas o ejemplos). Se recomienda supervisar el uso de IA para asegurar veracidad y comprensión.
Recursos y seguridad: material de laboratorio seguro para demostraciones básicas (si aplica), guías de seguridad, guiones de discusión y hojas de registro para cada grupo. Asegurar normativas de seguridad adecuadas para cualquier manipulación de sustancias, aunque sean simuladas en la plataforma.
Accesibilidad y diversidad: proporcionar opciones de entrada y salida, apoyos visuales (diagramas, iconografía) y lenguaje claro. Ofrecer traducción o apoyos para estudiantes con diferentes estilos de aprendizaje y necesidades.
Evaluación y retroalimentación: usar rúbricas claras que contemplen: precisión conceptual, interpretación de manifestaciones, balance de ecuaciones y calidad de la explicación. Incluir retroalimentación inmediata del rompecabezas y retroalimentación entre pares durante las presentaciones.
Transferencia y conexión con la vida real: cerrar cada sesión con una pregunta abierta que conecte la idea con salud, medio ambiente o tecnología (p. ej., qué impacto tiene una reacción en la calidad del agua o en el tratamiento de residuos).
Adaptaciones para aprendizaje a distancia: si fuera necesario, adaptar las actividades a un entorno virtual completo, manteniendo la estructura de rompecabezas en línea y discusiones síncronas/asíncronas para garantizar participación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E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FB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C5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7E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268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825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3F7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1F3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B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9F7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2026-09-29T21:36:07-05:00</dcterms:created>
  <dcterms:modified xsi:type="dcterms:W3CDTF">2026-09-29T21:36:07-05:00</dcterms:modified>
</cp:coreProperties>
</file>

<file path=docProps/custom.xml><?xml version="1.0" encoding="utf-8"?>
<Properties xmlns="http://schemas.openxmlformats.org/officeDocument/2006/custom-properties" xmlns:vt="http://schemas.openxmlformats.org/officeDocument/2006/docPropsVTypes"/>
</file>