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 Gran Auditoría: Dominando los Estados Financieros</w:t></w:r></w:p><w:p/><w:p><w:pPr/><w:r><w:rPr><w:color w:val="666666"/><w:sz w:val="20"/><w:szCs w:val="20"/><w:i w:val="1"/><w:iCs w:val="1"/></w:rPr><w:t xml:space="preserve">Gamificación Estructural | Economía, Administración & Contaduría | Contaduría pública | Tema: LOS ESTADOS FINANCIEROS</w:t></w:r></w:p><w:p/><w:p><w:pPr/><w:r><w:rPr><w:color w:val="2b6cb0"/><w:sz w:val="28"/><w:szCs w:val="28"/><w:b w:val="1"/><w:bCs w:val="1"/></w:rPr><w:t xml:space="preserve">Contexto Narrativo</w:t></w:r></w:p><w:p><w:pPr/><w:r><w:rPr/><w:t xml:space="preserve">Contexto narrativo: La Gran Auditoría Corporativa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logísticas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2026-09-25T22:23:20-05:00</dcterms:created>
  <dcterms:modified xsi:type="dcterms:W3CDTF">2026-09-25T22:23:20-05:00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