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Visión Demográfica: La Misión del Optometrista Global</w:t>
      </w:r>
    </w:p>
    <w:p/>
    <w:p>
      <w:pPr/>
      <w:r>
        <w:rPr>
          <w:color w:val="666666"/>
          <w:sz w:val="20"/>
          <w:szCs w:val="20"/>
          <w:i w:val="1"/>
          <w:iCs w:val="1"/>
        </w:rPr>
        <w:t xml:space="preserve">Gamificación Estructural | Ciencias de la Salud | Optometría | Tema: DEMOGRAFIA</w:t>
      </w:r>
    </w:p>
    <w:p/>
    <w:p>
      <w:pPr/>
      <w:r>
        <w:rPr>
          <w:color w:val="2b6cb0"/>
          <w:sz w:val="28"/>
          <w:szCs w:val="28"/>
          <w:b w:val="1"/>
          <w:bCs w:val="1"/>
        </w:rPr>
        <w:t xml:space="preserve">Contexto Narrativo</w:t>
      </w:r>
    </w:p>
    <w:p>
      <w:pPr/>
      <w:r>
        <w:rPr>
          <w:b w:val="1"/>
          <w:bCs w:val="1"/>
        </w:rPr>
        <w:t xml:space="preserve">Contexto Narrativo: La Misión del Optometrista Global</w:t>
      </w:r>
    </w:p>
    <w:p>
      <w:pPr/>
      <w:r>
        <w:rPr/>
        <w:t xml:space="preserve">En un futuro cercano, la salud visual se ha convertido en un pilar fundamental para el bienestar global. Las poblaciones alrededor del mundo están experimentando cambios demográficos acelerados que afectan directamente la prevalencia de enfermedades oculares y el acceso a servicios ópticos. Los estudiantes, en su rol de Optometristas Globales, forman parte de un equipo internacional encargado de analizar datos demográficos, identificar patrones de salud visual vinculados a la estructura poblacional y diseñar estrategias de intervención para comunidades diversas.</w:t>
      </w:r>
    </w:p>
    <w:p>
      <w:pPr/>
      <w:r>
        <w:rPr/>
        <w:t xml:space="preserve">La ambientación se sitúa en un centro colaborativo internacional llamado “Centro de Análisis Demográfico y Salud Visual” (CADSV), donde se utilizan tecnologías avanzadas y bases de datos reales para entender cómo las variables demográficas afectan la optometría. Los estudiantes asumirán el rol de especialistas en demografía aplicadas a la salud visual, trabajando en equipos multidisciplinarios con investigadores y técnicos de datos.</w:t>
      </w:r>
    </w:p>
    <w:p>
      <w:pPr/>
      <w:r>
        <w:rPr/>
        <w:t xml:space="preserve">La misión principal consiste en analizar diferentes contextos demográficos —como envejecimiento poblacional, migración, distribución geográfica y densidad poblacional— para prever necesidades futuras en servicios optométricos y proponer soluciones innovadoras que aborden la equidad en el acceso a la atención visual. Esto implica interpretar estadísticas, hacer modelos predictivos y presentar informes claros a un consejo global de salud.</w:t>
      </w:r>
    </w:p>
    <w:p>
      <w:pPr/>
      <w:r>
        <w:rPr/>
        <w:t xml:space="preserve">Esta experiencia se conecta directamente con el contenido de la asignatura de Optometría al integrar conocimientos sobre epidemiología, salud pública y demografía, aportando una perspectiva holística que amplía la comprensión del estudiante sobre cómo factores sociales y poblacionales influyen en la práctica profesional. Al vivir el rol de expertos en demografía aplicada, los estudiantes desarrollan competencias de análisis crítico, comunicación científica y responsabilidad social.</w:t>
      </w:r>
    </w:p>
    <w:p>
      <w:pPr/>
      <w:r>
        <w:rPr/>
        <w:t xml:space="preserve">Además, la narrativa promueve la empatía y la inclusión, al enfrentarlos a escenarios con comunidades diversas, considerando variables como género, etnia, discapacidad visual y nivel socioeconómico, para garantizar que las soluciones diseñadas sean justas y adaptadas a las necesidades reales.</w:t>
      </w:r>
    </w:p>
    <w:p>
      <w:pPr/>
      <w:r>
        <w:rPr/>
        <w:t xml:space="preserve">En resumen, “Visión Demográfica” es una aventura educativa que fusiona ciencia, tecnología y compromiso social, transformando el aprendizaje tradicional en una experiencia dinámica, colaborativa y motivadora donde cada estudiante es un agente de cambio en la salud visual global.</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 un sistema de mecánicas que promueven la motivación, el compromiso y la progresión de aprendizaje, alineadas con los objetivos y competencias del siglo XXI.</w:t>
      </w:r>
    </w:p>
    <w:p>
      <w:pPr>
        <w:numPr>
          <w:ilvl w:val="0"/>
          <w:numId w:val="1"/>
        </w:numPr>
      </w:pPr>
      <w:r>
        <w:rPr>
          <w:b w:val="1"/>
          <w:bCs w:val="1"/>
        </w:rPr>
        <w:t xml:space="preserve">Sistema de Puntos:</w:t>
      </w:r>
      <w:r>
        <w:rPr/>
        <w:t xml:space="preserve">Los estudiantes ganan puntos por completar actividades, participar en debates, entregar informes y colaborar en equipo. Cada tarea tiene un valor específico de puntos que refleja su complejidad y relevancia. Por ejemplo, analizar un dataset demográfico otorga 50 puntos, presentar un informe 40 puntos y participar en una sesión de preguntas 10 puntos.</w:t>
      </w:r>
    </w:p>
    <w:p>
      <w:pPr>
        <w:numPr>
          <w:ilvl w:val="0"/>
          <w:numId w:val="1"/>
        </w:numPr>
      </w:pPr>
      <w:r>
        <w:rPr>
          <w:b w:val="1"/>
          <w:bCs w:val="1"/>
        </w:rPr>
        <w:t xml:space="preserve">Niveles:</w:t>
      </w:r>
      <w:r>
        <w:rPr/>
        <w:t xml:space="preserve">El sistema tiene cinco niveles de experiencia que representan el dominio creciente del estudiante sobre la demografía aplicada a la optometría:</w:t>
      </w:r>
      <w:r>
        <w:rPr/>
        <w:t xml:space="preserve">Los niveles desbloquean retos y materiales adicionales y fomentan la superación personal.</w:t>
      </w:r>
    </w:p>
    <w:p>
      <w:pPr>
        <w:numPr>
          <w:ilvl w:val="1"/>
          <w:numId w:val="1"/>
        </w:numPr>
      </w:pPr>
      <w:r>
        <w:rPr/>
        <w:t xml:space="preserve">Nivel 1: Novato Demográfico (0-100 puntos)</w:t>
      </w:r>
    </w:p>
    <w:p>
      <w:pPr>
        <w:numPr>
          <w:ilvl w:val="1"/>
          <w:numId w:val="1"/>
        </w:numPr>
      </w:pPr>
      <w:r>
        <w:rPr/>
        <w:t xml:space="preserve">Nivel 2: Analista Junior (101-200 puntos)</w:t>
      </w:r>
    </w:p>
    <w:p>
      <w:pPr>
        <w:numPr>
          <w:ilvl w:val="1"/>
          <w:numId w:val="1"/>
        </w:numPr>
      </w:pPr>
      <w:r>
        <w:rPr/>
        <w:t xml:space="preserve">Nivel 3: Investigador en Formación (201-350 puntos)</w:t>
      </w:r>
    </w:p>
    <w:p>
      <w:pPr>
        <w:numPr>
          <w:ilvl w:val="1"/>
          <w:numId w:val="1"/>
        </w:numPr>
      </w:pPr>
      <w:r>
        <w:rPr/>
        <w:t xml:space="preserve">Nivel 4: Experto Demográfico (351-500 puntos)</w:t>
      </w:r>
    </w:p>
    <w:p>
      <w:pPr>
        <w:numPr>
          <w:ilvl w:val="1"/>
          <w:numId w:val="1"/>
        </w:numPr>
      </w:pPr>
      <w:r>
        <w:rPr/>
        <w:t xml:space="preserve">Nivel 5: Maestro Optometrista Global (501+ puntos)</w:t>
      </w:r>
    </w:p>
    <w:p>
      <w:pPr>
        <w:numPr>
          <w:ilvl w:val="0"/>
          <w:numId w:val="1"/>
        </w:numPr>
      </w:pPr>
      <w:r>
        <w:rPr>
          <w:b w:val="1"/>
          <w:bCs w:val="1"/>
        </w:rPr>
        <w:t xml:space="preserve">Insignias:</w:t>
      </w:r>
      <w:r>
        <w:rPr/>
        <w:t xml:space="preserve">Se entregan insignias digitales que representan logros específicos, tales como:</w:t>
      </w:r>
      <w:r>
        <w:rPr/>
        <w:t xml:space="preserve">Las insignias se exhiben en un perfil digital y motivan la participación continua.</w:t>
      </w:r>
    </w:p>
    <w:p>
      <w:pPr>
        <w:numPr>
          <w:ilvl w:val="1"/>
          <w:numId w:val="1"/>
        </w:numPr>
      </w:pPr>
      <w:r>
        <w:rPr/>
        <w:t xml:space="preserve">“Analista de Datos” por interpretar correctamente un conjunto de datos demográficos.</w:t>
      </w:r>
    </w:p>
    <w:p>
      <w:pPr>
        <w:numPr>
          <w:ilvl w:val="1"/>
          <w:numId w:val="1"/>
        </w:numPr>
      </w:pPr>
      <w:r>
        <w:rPr/>
        <w:t xml:space="preserve">“Comunicador Efectivo” por una presentación clara y persuasiva.</w:t>
      </w:r>
    </w:p>
    <w:p>
      <w:pPr>
        <w:numPr>
          <w:ilvl w:val="1"/>
          <w:numId w:val="1"/>
        </w:numPr>
      </w:pPr>
      <w:r>
        <w:rPr/>
        <w:t xml:space="preserve">“Responsabilidad Social” por proponer estrategias inclusivas.</w:t>
      </w:r>
    </w:p>
    <w:p>
      <w:pPr>
        <w:numPr>
          <w:ilvl w:val="1"/>
          <w:numId w:val="1"/>
        </w:numPr>
      </w:pPr>
      <w:r>
        <w:rPr/>
        <w:t xml:space="preserve">“Creatividad Innovadora” por soluciones originales a problemáticas reales.</w:t>
      </w:r>
    </w:p>
    <w:p>
      <w:pPr>
        <w:numPr>
          <w:ilvl w:val="0"/>
          <w:numId w:val="1"/>
        </w:numPr>
      </w:pPr>
      <w:r>
        <w:rPr>
          <w:b w:val="1"/>
          <w:bCs w:val="1"/>
        </w:rPr>
        <w:t xml:space="preserve">Retos:</w:t>
      </w:r>
      <w:r>
        <w:rPr/>
        <w:t xml:space="preserve">Se diseñan retos semanales que implican resolver casos prácticos, debates o simulaciones de toma de decisiones. Los retos fomentan la aplicación práctica y el trabajo en equipo.</w:t>
      </w:r>
    </w:p>
    <w:p>
      <w:pPr>
        <w:numPr>
          <w:ilvl w:val="0"/>
          <w:numId w:val="1"/>
        </w:numPr>
      </w:pPr>
      <w:r>
        <w:rPr>
          <w:b w:val="1"/>
          <w:bCs w:val="1"/>
        </w:rPr>
        <w:t xml:space="preserve">Recompensas:</w:t>
      </w:r>
      <w:r>
        <w:rPr/>
        <w:t xml:space="preserve">Además de puntos e insignias, se ofrecen recompensas simbólicas como “consultor invitado” en una sesión especial, acceso a materiales exclusivos o liderazgo en el siguiente reto.</w:t>
      </w:r>
    </w:p>
    <w:p>
      <w:pPr>
        <w:numPr>
          <w:ilvl w:val="0"/>
          <w:numId w:val="1"/>
        </w:numPr>
      </w:pPr>
      <w:r>
        <w:rPr>
          <w:b w:val="1"/>
          <w:bCs w:val="1"/>
        </w:rPr>
        <w:t xml:space="preserve">Progresión:</w:t>
      </w:r>
      <w:r>
        <w:rPr/>
        <w:t xml:space="preserve">Los estudiantes visualizan su avance en una barra de progreso y en tablas de clasificación que comparan su rendimiento con el grupo, fomentando la competitividad positiva y el esfuerzo constante.</w:t>
      </w:r>
    </w:p>
    <w:p>
      <w:pPr>
        <w:numPr>
          <w:ilvl w:val="0"/>
          <w:numId w:val="1"/>
        </w:numPr>
      </w:pPr>
      <w:r>
        <w:rPr>
          <w:b w:val="1"/>
          <w:bCs w:val="1"/>
        </w:rPr>
        <w:t xml:space="preserve">Retroalimentación Inmediata:</w:t>
      </w:r>
      <w:r>
        <w:rPr/>
        <w:t xml:space="preserve">Tras cada actividad o reto, los estudiantes reciben comentarios detallados mediante plataformas digitales o en clase, que les permiten corregir errores y mejorar sus habilidades.</w:t>
      </w:r>
    </w:p>
    <w:p>
      <w:pPr/>
      <w:r>
        <w:rPr/>
        <w:t xml:space="preserve">Estas mecánicas están diseñadas para integrarse naturalmente con las actividades y fomentar las competencias de creatividad, comunicación y responsabilidad, además de garantizar un entorno inclusivo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“Visión Demográfica”. Cada actividad está gamificada y vinculada a las mecánicas descritas, con instrucciones claras y materiales accesibles.</w:t>
      </w:r>
    </w:p>
    <w:p>
      <w:pPr/>
      <w:r>
        <w:rPr/>
        <w:t xml:space="preserve">  Actividad 1: Diagnóstico Demográfico - "Mapa Vivo de la Salud Visual"  </w:t>
      </w:r>
    </w:p>
    <w:p>
      <w:pPr/>
      <w:r>
        <w:rPr>
          <w:b w:val="1"/>
          <w:bCs w:val="1"/>
        </w:rPr>
        <w:t xml:space="preserve">Descripción:</w:t>
      </w:r>
      <w:r>
        <w:rPr/>
        <w:t xml:space="preserve"> Los estudiantes analizan datos demográficos reales de diferentes regiones para identificar patrones relacionados con la salud visual y realizar un diagnóstico preliminar.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personas.</w:t>
      </w:r>
    </w:p>
    <w:p>
      <w:pPr>
        <w:numPr>
          <w:ilvl w:val="0"/>
          <w:numId w:val="2"/>
        </w:numPr>
      </w:pPr>
      <w:r>
        <w:rPr/>
        <w:t xml:space="preserve">Entregar a cada equipo un conjunto de datos demográficos (pueden ser tablas, gráficos o bases de datos simplificadas) que incluyen variables como edad, género, densidad poblacional y prevalencia de enfermedades visuales.</w:t>
      </w:r>
    </w:p>
    <w:p>
      <w:pPr>
        <w:numPr>
          <w:ilvl w:val="0"/>
          <w:numId w:val="2"/>
        </w:numPr>
      </w:pPr>
      <w:r>
        <w:rPr/>
        <w:t xml:space="preserve">Cada equipo debe analizar los datos y preparar un informe breve que responda a las preguntas: ¿Qué tendencias demográficas pueden afectar la salud visual? ¿Qué grupos poblacionales presentan mayor riesgo?</w:t>
      </w:r>
    </w:p>
    <w:p>
      <w:pPr>
        <w:numPr>
          <w:ilvl w:val="0"/>
          <w:numId w:val="2"/>
        </w:numPr>
      </w:pPr>
      <w:r>
        <w:rPr/>
        <w:t xml:space="preserve">Presentar el diagnóstico ante la clase en un formato visual (diapositivas, póster o infografía digital).</w:t>
      </w:r>
    </w:p>
    <w:p>
      <w:pPr/>
      <w:r>
        <w:rPr/>
        <w:t xml:space="preserve">  </w:t>
      </w:r>
    </w:p>
    <w:p>
      <w:pPr/>
      <w:r>
        <w:rPr>
          <w:b w:val="1"/>
          <w:bCs w:val="1"/>
        </w:rPr>
        <w:t xml:space="preserve">Tiempo estimado:</w:t>
      </w:r>
      <w:r>
        <w:rPr/>
        <w:t xml:space="preserve"> 2 horas (1 hora para análisis y 1 hora para presentación).</w:t>
      </w:r>
    </w:p>
    <w:p>
      <w:pPr/>
      <w:r>
        <w:rPr/>
        <w:t xml:space="preserve">  </w:t>
      </w:r>
    </w:p>
    <w:p>
      <w:pPr/>
      <w:r>
        <w:rPr>
          <w:b w:val="1"/>
          <w:bCs w:val="1"/>
        </w:rPr>
        <w:t xml:space="preserve">Materiales:</w:t>
      </w:r>
      <w:r>
        <w:rPr/>
        <w:t xml:space="preserve"> Computadoras con acceso a hojas de cálculo, datos demográficos impresos o digitales, herramientas para presentaciones (PowerPoint, Canva, Prezi).</w:t>
      </w:r>
    </w:p>
    <w:p>
      <w:pPr/>
      <w:r>
        <w:rPr/>
        <w:t xml:space="preserve">  </w:t>
      </w:r>
    </w:p>
    <w:p>
      <w:pPr/>
      <w:r>
        <w:rPr>
          <w:b w:val="1"/>
          <w:bCs w:val="1"/>
        </w:rPr>
        <w:t xml:space="preserve">Integración con las mecánicas:</w:t>
      </w:r>
      <w:r>
        <w:rPr/>
        <w:t xml:space="preserve"> Por completar el análisis y la presentación, el equipo gana 50 puntos y la insignia “Analista de Datos”. El docente ofrece retroalimentación inmediata y actualiza la tabla de clasificación.</w:t>
      </w:r>
    </w:p>
    <w:p>
      <w:pPr/>
      <w:r>
        <w:rPr/>
        <w:t xml:space="preserve">  </w:t>
      </w:r>
    </w:p>
    <w:p>
      <w:pPr>
        <w:spacing w:before="120" w:after="120" w:line="240" w:lineRule="auto"/>
        <w:pBdr>
          <w:bottom w:val="single" w:sz="1" w:color="000000"/>
        </w:pBdr>
      </w:pPr>
      <w:r>
        <w:rPr>
          <w:sz w:val="6"/>
          <w:szCs w:val="6"/>
        </w:rPr>
        <w:t xml:space="preserve"/>
      </w:r>
    </w:p>
    <w:p>
      <w:pPr/>
      <w:r>
        <w:rPr/>
        <w:t xml:space="preserve">  Actividad 2: Debate Inclusivo - "Estrategias para la Equidad en Salud Visual"  </w:t>
      </w:r>
    </w:p>
    <w:p>
      <w:pPr/>
      <w:r>
        <w:rPr>
          <w:b w:val="1"/>
          <w:bCs w:val="1"/>
        </w:rPr>
        <w:t xml:space="preserve">Descripción:</w:t>
      </w:r>
      <w:r>
        <w:rPr/>
        <w:t xml:space="preserve"> A partir del diagnóstico, los estudiantes discuten en un debate estructurado las estrategias para garantizar el acceso equitativo a servicios optométricos en diferentes contextos demográficos.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dos grupos: uno que defienda una estrategia basada en políticas públicas y otro que defienda soluciones comunitarias.</w:t>
      </w:r>
    </w:p>
    <w:p>
      <w:pPr>
        <w:numPr>
          <w:ilvl w:val="0"/>
          <w:numId w:val="3"/>
        </w:numPr>
      </w:pPr>
      <w:r>
        <w:rPr/>
        <w:t xml:space="preserve">Cada grupo tiene 30 minutos para preparar argumentos basados en evidencias y ejemplos reales.</w:t>
      </w:r>
    </w:p>
    <w:p>
      <w:pPr>
        <w:numPr>
          <w:ilvl w:val="0"/>
          <w:numId w:val="3"/>
        </w:numPr>
      </w:pPr>
      <w:r>
        <w:rPr/>
        <w:t xml:space="preserve">El debate se realiza en formato presencial o virtual, con turnos de 3 minutos por orador y espacio para réplicas.</w:t>
      </w:r>
    </w:p>
    <w:p>
      <w:pPr>
        <w:numPr>
          <w:ilvl w:val="0"/>
          <w:numId w:val="3"/>
        </w:numPr>
      </w:pPr>
      <w:r>
        <w:rPr/>
        <w:t xml:space="preserve">Al finalizar, toda la clase vota por la propuesta que consideran más viable e inclusiva.</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Material de lectura sobre políticas y programas de salud visual, espacio para debate, cronómetro o temporizador.</w:t>
      </w:r>
    </w:p>
    <w:p>
      <w:pPr/>
      <w:r>
        <w:rPr/>
        <w:t xml:space="preserve">  </w:t>
      </w:r>
    </w:p>
    <w:p>
      <w:pPr/>
      <w:r>
        <w:rPr>
          <w:b w:val="1"/>
          <w:bCs w:val="1"/>
        </w:rPr>
        <w:t xml:space="preserve">Integración con las mecánicas:</w:t>
      </w:r>
      <w:r>
        <w:rPr/>
        <w:t xml:space="preserve"> Participar en el debate otorga 30 puntos y la insignia “Comunicador Efectivo”. El grupo ganador recibe 20 puntos extra. Se promueve la responsabilidad social y la comunicación clara.</w:t>
      </w:r>
    </w:p>
    <w:p>
      <w:pPr/>
      <w:r>
        <w:rPr/>
        <w:t xml:space="preserve">  </w:t>
      </w:r>
    </w:p>
    <w:p>
      <w:pPr>
        <w:spacing w:before="120" w:after="120" w:line="240" w:lineRule="auto"/>
        <w:pBdr>
          <w:bottom w:val="single" w:sz="1" w:color="000000"/>
        </w:pBdr>
      </w:pPr>
      <w:r>
        <w:rPr>
          <w:sz w:val="6"/>
          <w:szCs w:val="6"/>
        </w:rPr>
        <w:t xml:space="preserve"/>
      </w:r>
    </w:p>
    <w:p>
      <w:pPr/>
      <w:r>
        <w:rPr/>
        <w:t xml:space="preserve">  Actividad 3: Reto Creativo - "Diseña tu Campaña de Salud Visual Demográfica"  </w:t>
      </w:r>
    </w:p>
    <w:p>
      <w:pPr/>
      <w:r>
        <w:rPr>
          <w:b w:val="1"/>
          <w:bCs w:val="1"/>
        </w:rPr>
        <w:t xml:space="preserve">Descripción:</w:t>
      </w:r>
      <w:r>
        <w:rPr/>
        <w:t xml:space="preserve"> Los estudiantes diseñan una campaña de sensibilización adaptada a una población específica identificada en el diagnóstico demográfico, considerando diversidad cultural, lenguaje y accesibilidad.</w:t>
      </w:r>
    </w:p>
    <w:p>
      <w:pPr/>
      <w:r>
        <w:rPr/>
        <w:t xml:space="preserve">  </w:t>
      </w:r>
    </w:p>
    <w:p>
      <w:pPr/>
      <w:r>
        <w:rPr>
          <w:b w:val="1"/>
          <w:bCs w:val="1"/>
        </w:rPr>
        <w:t xml:space="preserve">Instrucciones:</w:t>
      </w:r>
    </w:p>
    <w:p>
      <w:pPr/>
      <w:r>
        <w:rPr/>
        <w:t xml:space="preserve">  </w:t>
      </w:r>
    </w:p>
    <w:p>
      <w:pPr>
        <w:numPr>
          <w:ilvl w:val="0"/>
          <w:numId w:val="4"/>
        </w:numPr>
      </w:pPr>
      <w:r>
        <w:rPr/>
        <w:t xml:space="preserve">En equipos, seleccionar una población objetivo (por ejemplo, adultos mayores rurales, niños indígenas o migrantes urbanos).</w:t>
      </w:r>
    </w:p>
    <w:p>
      <w:pPr>
        <w:numPr>
          <w:ilvl w:val="0"/>
          <w:numId w:val="4"/>
        </w:numPr>
      </w:pPr>
      <w:r>
        <w:rPr/>
        <w:t xml:space="preserve">Crear un plan de campaña con mensajes clave, medios de difusión y recursos visuales o multimedia (carteles, videos, audios).</w:t>
      </w:r>
    </w:p>
    <w:p>
      <w:pPr>
        <w:numPr>
          <w:ilvl w:val="0"/>
          <w:numId w:val="4"/>
        </w:numPr>
      </w:pPr>
      <w:r>
        <w:rPr/>
        <w:t xml:space="preserve">Presentar la campaña al grupo y explicar cómo responde a las necesidades demográficas y sociales.</w:t>
      </w:r>
    </w:p>
    <w:p>
      <w:pPr/>
      <w:r>
        <w:rPr/>
        <w:t xml:space="preserve">  </w:t>
      </w:r>
    </w:p>
    <w:p>
      <w:pPr/>
      <w:r>
        <w:rPr>
          <w:b w:val="1"/>
          <w:bCs w:val="1"/>
        </w:rPr>
        <w:t xml:space="preserve">Tiempo estimado:</w:t>
      </w:r>
      <w:r>
        <w:rPr/>
        <w:t xml:space="preserve"> 3 horas (1.5 horas para diseño y 1.5 horas para presentación y discusión).</w:t>
      </w:r>
    </w:p>
    <w:p>
      <w:pPr/>
      <w:r>
        <w:rPr/>
        <w:t xml:space="preserve">  </w:t>
      </w:r>
    </w:p>
    <w:p>
      <w:pPr/>
      <w:r>
        <w:rPr>
          <w:b w:val="1"/>
          <w:bCs w:val="1"/>
        </w:rPr>
        <w:t xml:space="preserve">Materiales:</w:t>
      </w:r>
      <w:r>
        <w:rPr/>
        <w:t xml:space="preserve"> Computadoras, software de diseño gráfico, acceso a internet, materiales para prototipos físicos si se desea.</w:t>
      </w:r>
    </w:p>
    <w:p>
      <w:pPr/>
      <w:r>
        <w:rPr/>
        <w:t xml:space="preserve">  </w:t>
      </w:r>
    </w:p>
    <w:p>
      <w:pPr/>
      <w:r>
        <w:rPr>
          <w:b w:val="1"/>
          <w:bCs w:val="1"/>
        </w:rPr>
        <w:t xml:space="preserve">Integración con las mecánicas:</w:t>
      </w:r>
      <w:r>
        <w:rPr/>
        <w:t xml:space="preserve"> Completar el reto otorga 70 puntos y la insignia “Creatividad Innovadora”. Las campañas que mejor integren criterios DEI reciben una recompensa especial y 30 puntos adicionales.</w:t>
      </w:r>
    </w:p>
    <w:p>
      <w:pPr/>
      <w:r>
        <w:rPr/>
        <w:t xml:space="preserve">  </w:t>
      </w:r>
    </w:p>
    <w:p>
      <w:pPr>
        <w:spacing w:before="120" w:after="120" w:line="240" w:lineRule="auto"/>
        <w:pBdr>
          <w:bottom w:val="single" w:sz="1" w:color="000000"/>
        </w:pBdr>
      </w:pPr>
      <w:r>
        <w:rPr>
          <w:sz w:val="6"/>
          <w:szCs w:val="6"/>
        </w:rPr>
        <w:t xml:space="preserve"/>
      </w:r>
    </w:p>
    <w:p>
      <w:pPr/>
      <w:r>
        <w:rPr/>
        <w:t xml:space="preserve">  Actividad 4: Simulación de Toma de Decisiones - "Consejo Global de Salud Visual"  </w:t>
      </w:r>
    </w:p>
    <w:p>
      <w:pPr/>
      <w:r>
        <w:rPr>
          <w:b w:val="1"/>
          <w:bCs w:val="1"/>
        </w:rPr>
        <w:t xml:space="preserve">Descripción:</w:t>
      </w:r>
      <w:r>
        <w:rPr/>
        <w:t xml:space="preserve"> Los estudiantes actúan como miembros de un consejo internacional que debe priorizar recursos para intervenciones optométricas basadas en análisis demográficos y criterios éticos.</w:t>
      </w:r>
    </w:p>
    <w:p>
      <w:pPr/>
      <w:r>
        <w:rPr/>
        <w:t xml:space="preserve">  </w:t>
      </w:r>
    </w:p>
    <w:p>
      <w:pPr/>
      <w:r>
        <w:rPr>
          <w:b w:val="1"/>
          <w:bCs w:val="1"/>
        </w:rPr>
        <w:t xml:space="preserve">Instrucciones:</w:t>
      </w:r>
    </w:p>
    <w:p>
      <w:pPr/>
      <w:r>
        <w:rPr/>
        <w:t xml:space="preserve">  </w:t>
      </w:r>
    </w:p>
    <w:p>
      <w:pPr>
        <w:numPr>
          <w:ilvl w:val="0"/>
          <w:numId w:val="5"/>
        </w:numPr>
      </w:pPr>
      <w:r>
        <w:rPr/>
        <w:t xml:space="preserve">Proporcionar a cada estudiante un rol asignado (ej. experto en epidemiología, representante comunitario, economista de salud).</w:t>
      </w:r>
    </w:p>
    <w:p>
      <w:pPr>
        <w:numPr>
          <w:ilvl w:val="0"/>
          <w:numId w:val="5"/>
        </w:numPr>
      </w:pPr>
      <w:r>
        <w:rPr/>
        <w:t xml:space="preserve">Presentar casos con escenarios de diferentes regiones con limitaciones presupuestarias.</w:t>
      </w:r>
    </w:p>
    <w:p>
      <w:pPr>
        <w:numPr>
          <w:ilvl w:val="0"/>
          <w:numId w:val="5"/>
        </w:numPr>
      </w:pPr>
      <w:r>
        <w:rPr/>
        <w:t xml:space="preserve">En sesiones grupales, discutir y decidir la asignación de recursos, justificando las prioridades basadas en datos y equidad.</w:t>
      </w:r>
    </w:p>
    <w:p>
      <w:pPr>
        <w:numPr>
          <w:ilvl w:val="0"/>
          <w:numId w:val="5"/>
        </w:numPr>
      </w:pPr>
      <w:r>
        <w:rPr/>
        <w:t xml:space="preserve">Registrar las decisiones y presentar el plan final ante el “ministerio de salud” (el docente y/o invitados).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Fichas de rol, escenarios escritos, pizarras o herramientas digitales para tomar notas.</w:t>
      </w:r>
    </w:p>
    <w:p>
      <w:pPr/>
      <w:r>
        <w:rPr/>
        <w:t xml:space="preserve">  </w:t>
      </w:r>
    </w:p>
    <w:p>
      <w:pPr/>
      <w:r>
        <w:rPr>
          <w:b w:val="1"/>
          <w:bCs w:val="1"/>
        </w:rPr>
        <w:t xml:space="preserve">Integración con las mecánicas:</w:t>
      </w:r>
      <w:r>
        <w:rPr/>
        <w:t xml:space="preserve"> Participar en la simulación otorga 60 puntos y la insignia “Responsabilidad Social”. La calidad de la argumentación y la inclusión de perspectivas diversas se evalúan para recompensas extras.</w:t>
      </w:r>
    </w:p>
    <w:p>
      <w:pPr/>
      <w:r>
        <w:rPr/>
        <w:t xml:space="preserve">  </w:t>
      </w:r>
    </w:p>
    <w:p>
      <w:pPr>
        <w:spacing w:before="120" w:after="120" w:line="240" w:lineRule="auto"/>
        <w:pBdr>
          <w:bottom w:val="single" w:sz="1" w:color="000000"/>
        </w:pBdr>
      </w:pPr>
      <w:r>
        <w:rPr>
          <w:sz w:val="6"/>
          <w:szCs w:val="6"/>
        </w:rPr>
        <w:t xml:space="preserve"/>
      </w:r>
    </w:p>
    <w:p>
      <w:pPr/>
      <w:r>
        <w:rPr/>
        <w:t xml:space="preserve">  Actividad 5: Reflexión y Cierre - "Bitácora del Optometrista Global"  </w:t>
      </w:r>
    </w:p>
    <w:p>
      <w:pPr/>
      <w:r>
        <w:rPr>
          <w:b w:val="1"/>
          <w:bCs w:val="1"/>
        </w:rPr>
        <w:t xml:space="preserve">Descripción:</w:t>
      </w:r>
      <w:r>
        <w:rPr/>
        <w:t xml:space="preserve"> Cada estudiante escribe una reflexión personal sobre lo aprendido, los retos enfrentados y cómo aplicará este conocimiento en su futura práctica profesional.</w:t>
      </w:r>
    </w:p>
    <w:p>
      <w:pPr/>
      <w:r>
        <w:rPr/>
        <w:t xml:space="preserve">  </w:t>
      </w:r>
    </w:p>
    <w:p>
      <w:pPr/>
      <w:r>
        <w:rPr>
          <w:b w:val="1"/>
          <w:bCs w:val="1"/>
        </w:rPr>
        <w:t xml:space="preserve">Instrucciones:</w:t>
      </w:r>
    </w:p>
    <w:p>
      <w:pPr/>
      <w:r>
        <w:rPr/>
        <w:t xml:space="preserve">  </w:t>
      </w:r>
    </w:p>
    <w:p>
      <w:pPr>
        <w:numPr>
          <w:ilvl w:val="0"/>
          <w:numId w:val="6"/>
        </w:numPr>
      </w:pPr>
      <w:r>
        <w:rPr/>
        <w:t xml:space="preserve">Redactar una bitácora de al menos 500 palabras que incluya:</w:t>
      </w:r>
    </w:p>
    <w:p>
      <w:pPr>
        <w:numPr>
          <w:ilvl w:val="1"/>
          <w:numId w:val="6"/>
        </w:numPr>
      </w:pPr>
      <w:r>
        <w:rPr/>
        <w:t xml:space="preserve">Resumen de aprendizajes clave.</w:t>
      </w:r>
    </w:p>
    <w:p>
      <w:pPr>
        <w:numPr>
          <w:ilvl w:val="1"/>
          <w:numId w:val="6"/>
        </w:numPr>
      </w:pPr>
      <w:r>
        <w:rPr/>
        <w:t xml:space="preserve">Reflexión sobre la importancia de la demografía en optometría.</w:t>
      </w:r>
    </w:p>
    <w:p>
      <w:pPr>
        <w:numPr>
          <w:ilvl w:val="1"/>
          <w:numId w:val="6"/>
        </w:numPr>
      </w:pPr>
      <w:r>
        <w:rPr/>
        <w:t xml:space="preserve">Compromiso personal con la equidad y la inclusión.</w:t>
      </w:r>
    </w:p>
    <w:p>
      <w:pPr>
        <w:numPr>
          <w:ilvl w:val="0"/>
          <w:numId w:val="6"/>
        </w:numPr>
      </w:pPr>
      <w:r>
        <w:rPr/>
        <w:t xml:space="preserve">Compartir voluntariamente fragmentos en una sesión de cierre.</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Computadora o cuaderno para escritura.</w:t>
      </w:r>
    </w:p>
    <w:p>
      <w:pPr/>
      <w:r>
        <w:rPr/>
        <w:t xml:space="preserve">  </w:t>
      </w:r>
    </w:p>
    <w:p>
      <w:pPr/>
      <w:r>
        <w:rPr>
          <w:b w:val="1"/>
          <w:bCs w:val="1"/>
        </w:rPr>
        <w:t xml:space="preserve">Integración con las mecánicas:</w:t>
      </w:r>
      <w:r>
        <w:rPr/>
        <w:t xml:space="preserve"> Entregar la bitácora otorga 40 puntos y la insignia “Maestro Optometrista Global”. La participación en la sesión final suma 10 puntos.</w:t>
      </w:r>
    </w:p>
    <w:p>
      <w:pPr/>
      <w:r>
        <w:rPr/>
        <w:t xml:space="preserve">  </w:t>
      </w:r>
    </w:p>
    <w:p>
      <w:pPr/>
      <w:r>
        <w:rPr/>
        <w:t xml:space="preserve">Estas actividades suman un total aproximado de 10.5 horas de trabajo gamificado, integrando análisis, comunicación, creatividad y responsabilidad social, con un fuerte enfoque en diversidad, equidad e inclusión en cada paso.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objetivo es acumular la mayor cantidad de puntos posibles para alcanzar el nivel “Maestro Optometrista Global” y obtener las insignias clave. Se considera ganador al equipo o estudiante que demuestre dominio consistente, participación activa y aplicación de criterios DEI.</w:t>
      </w:r>
    </w:p>
    <w:p>
      <w:pPr>
        <w:numPr>
          <w:ilvl w:val="0"/>
          <w:numId w:val="7"/>
        </w:numPr>
      </w:pPr>
      <w:r>
        <w:rPr>
          <w:b w:val="1"/>
          <w:bCs w:val="1"/>
        </w:rPr>
        <w:t xml:space="preserve">Sistema de Puntos:</w:t>
      </w:r>
    </w:p>
    <w:p>
      <w:pPr>
        <w:numPr>
          <w:ilvl w:val="1"/>
          <w:numId w:val="7"/>
        </w:numPr>
      </w:pPr>
      <w:r>
        <w:rPr/>
        <w:t xml:space="preserve">Completar análisis: 50 puntos</w:t>
      </w:r>
    </w:p>
    <w:p>
      <w:pPr>
        <w:numPr>
          <w:ilvl w:val="1"/>
          <w:numId w:val="7"/>
        </w:numPr>
      </w:pPr>
      <w:r>
        <w:rPr/>
        <w:t xml:space="preserve">Presentaciones: 40 puntos</w:t>
      </w:r>
    </w:p>
    <w:p>
      <w:pPr>
        <w:numPr>
          <w:ilvl w:val="1"/>
          <w:numId w:val="7"/>
        </w:numPr>
      </w:pPr>
      <w:r>
        <w:rPr/>
        <w:t xml:space="preserve">Participación en debates: 30 puntos</w:t>
      </w:r>
    </w:p>
    <w:p>
      <w:pPr>
        <w:numPr>
          <w:ilvl w:val="1"/>
          <w:numId w:val="7"/>
        </w:numPr>
      </w:pPr>
      <w:r>
        <w:rPr/>
        <w:t xml:space="preserve">Retos creativos: 70 puntos</w:t>
      </w:r>
    </w:p>
    <w:p>
      <w:pPr>
        <w:numPr>
          <w:ilvl w:val="1"/>
          <w:numId w:val="7"/>
        </w:numPr>
      </w:pPr>
      <w:r>
        <w:rPr/>
        <w:t xml:space="preserve">Simulación: 60 puntos</w:t>
      </w:r>
    </w:p>
    <w:p>
      <w:pPr>
        <w:numPr>
          <w:ilvl w:val="1"/>
          <w:numId w:val="7"/>
        </w:numPr>
      </w:pPr>
      <w:r>
        <w:rPr/>
        <w:t xml:space="preserve">Bitácora: 40 puntos</w:t>
      </w:r>
    </w:p>
    <w:p>
      <w:pPr>
        <w:numPr>
          <w:ilvl w:val="1"/>
          <w:numId w:val="7"/>
        </w:numPr>
      </w:pPr>
      <w:r>
        <w:rPr/>
        <w:t xml:space="preserve">Participación en sesiones: 10 puntos</w:t>
      </w:r>
    </w:p>
    <w:p>
      <w:pPr>
        <w:numPr>
          <w:ilvl w:val="1"/>
          <w:numId w:val="7"/>
        </w:numPr>
      </w:pPr>
      <w:r>
        <w:rPr/>
        <w:t xml:space="preserve">Bonus por inclusión y creatividad: 20-30 puntos</w:t>
      </w:r>
    </w:p>
    <w:p>
      <w:pPr>
        <w:numPr>
          <w:ilvl w:val="0"/>
          <w:numId w:val="7"/>
        </w:numPr>
      </w:pPr>
      <w:r>
        <w:rPr>
          <w:b w:val="1"/>
          <w:bCs w:val="1"/>
        </w:rPr>
        <w:t xml:space="preserve">Penalizaciones:</w:t>
      </w:r>
    </w:p>
    <w:p>
      <w:pPr>
        <w:numPr>
          <w:ilvl w:val="1"/>
          <w:numId w:val="7"/>
        </w:numPr>
      </w:pPr>
      <w:r>
        <w:rPr/>
        <w:t xml:space="preserve">Entrega tardía sin justificación: -10 puntos</w:t>
      </w:r>
    </w:p>
    <w:p>
      <w:pPr>
        <w:numPr>
          <w:ilvl w:val="1"/>
          <w:numId w:val="7"/>
        </w:numPr>
      </w:pPr>
      <w:r>
        <w:rPr/>
        <w:t xml:space="preserve">Falta de respeto o exclusión en debates y trabajos: -20 puntos y posible suspensión temporal de actividades grupales</w:t>
      </w:r>
    </w:p>
    <w:p>
      <w:pPr>
        <w:numPr>
          <w:ilvl w:val="0"/>
          <w:numId w:val="7"/>
        </w:numPr>
      </w:pPr>
      <w:r>
        <w:rPr>
          <w:b w:val="1"/>
          <w:bCs w:val="1"/>
        </w:rPr>
        <w:t xml:space="preserve">Turnos y Roles:</w:t>
      </w:r>
    </w:p>
    <w:p>
      <w:pPr>
        <w:numPr>
          <w:ilvl w:val="1"/>
          <w:numId w:val="7"/>
        </w:numPr>
      </w:pPr>
      <w:r>
        <w:rPr/>
        <w:t xml:space="preserve">En debates y simulaciones, se respetan turnos estrictos para garantizar la equidad.</w:t>
      </w:r>
    </w:p>
    <w:p>
      <w:pPr>
        <w:numPr>
          <w:ilvl w:val="1"/>
          <w:numId w:val="7"/>
        </w:numPr>
      </w:pPr>
      <w:r>
        <w:rPr/>
        <w:t xml:space="preserve">Los roles asignados deben cumplirse con responsabilidad para el buen desarrollo del juego.</w:t>
      </w:r>
    </w:p>
    <w:p>
      <w:pPr>
        <w:numPr>
          <w:ilvl w:val="0"/>
          <w:numId w:val="7"/>
        </w:numPr>
      </w:pPr>
      <w:r>
        <w:rPr>
          <w:b w:val="1"/>
          <w:bCs w:val="1"/>
        </w:rPr>
        <w:t xml:space="preserve">Tabla de Puntos y Clasificación:</w:t>
      </w:r>
      <w:r>
        <w:rPr/>
        <w:t xml:space="preserve">La tabla se actualiza semanalmente y se muestra visible para todos, fomentando la competencia sana y el apoyo mutuo.</w:t>
      </w:r>
    </w:p>
    <w:p>
      <w:pPr>
        <w:numPr>
          <w:ilvl w:val="0"/>
          <w:numId w:val="7"/>
        </w:numPr>
      </w:pPr>
      <w:r>
        <w:rPr>
          <w:b w:val="1"/>
          <w:bCs w:val="1"/>
        </w:rPr>
        <w:t xml:space="preserve">Sistema de Logros:</w:t>
      </w:r>
      <w:r>
        <w:rPr/>
        <w:t xml:space="preserve">La obtención de insignias se registra en un perfil digital y es requisito para acceder a niveles superiores y retos especiales.</w:t>
      </w:r>
    </w:p>
    <w:p>
      <w:pPr>
        <w:numPr>
          <w:ilvl w:val="0"/>
          <w:numId w:val="7"/>
        </w:numPr>
      </w:pPr>
      <w:r>
        <w:rPr>
          <w:b w:val="1"/>
          <w:bCs w:val="1"/>
        </w:rPr>
        <w:t xml:space="preserve">Inclusión y Respeto:</w:t>
      </w:r>
      <w:r>
        <w:rPr/>
        <w:t xml:space="preserve">Se exige un ambiente inclusivo, respetuoso y libre de discriminación. La diversidad es valorada y promovida en todas las actividades.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la experiencia gamificada, utilizando criterios claros y rúbricas que valoran tanto el contenido como las habilidades blandas y el enfoque DEI.</w:t>
      </w:r>
    </w:p>
    <w:p>
      <w:pPr/>
      <w:r>
        <w:rPr/>
        <w:t xml:space="preserve">  Criterios de Evaluación  </w:t>
      </w:r>
    </w:p>
    <w:p>
      <w:pPr>
        <w:numPr>
          <w:ilvl w:val="0"/>
          <w:numId w:val="8"/>
        </w:numPr>
      </w:pPr>
      <w:r>
        <w:rPr>
          <w:b w:val="1"/>
          <w:bCs w:val="1"/>
        </w:rPr>
        <w:t xml:space="preserve">Dominio conceptual:</w:t>
      </w:r>
      <w:r>
        <w:rPr/>
        <w:t xml:space="preserve"> Precisión en el análisis de datos demográficos y su relación con la salud visual.</w:t>
      </w:r>
    </w:p>
    <w:p>
      <w:pPr>
        <w:numPr>
          <w:ilvl w:val="0"/>
          <w:numId w:val="8"/>
        </w:numPr>
      </w:pPr>
      <w:r>
        <w:rPr>
          <w:b w:val="1"/>
          <w:bCs w:val="1"/>
        </w:rPr>
        <w:t xml:space="preserve">Creatividad:</w:t>
      </w:r>
      <w:r>
        <w:rPr/>
        <w:t xml:space="preserve"> Originalidad y pertinencia en las propuestas y campañas diseñadas.</w:t>
      </w:r>
    </w:p>
    <w:p>
      <w:pPr>
        <w:numPr>
          <w:ilvl w:val="0"/>
          <w:numId w:val="8"/>
        </w:numPr>
      </w:pPr>
      <w:r>
        <w:rPr>
          <w:b w:val="1"/>
          <w:bCs w:val="1"/>
        </w:rPr>
        <w:t xml:space="preserve">Comunicación:</w:t>
      </w:r>
      <w:r>
        <w:rPr/>
        <w:t xml:space="preserve"> Claridad, coherencia y efectividad en presentaciones y debates.</w:t>
      </w:r>
    </w:p>
    <w:p>
      <w:pPr>
        <w:numPr>
          <w:ilvl w:val="0"/>
          <w:numId w:val="8"/>
        </w:numPr>
      </w:pPr>
      <w:r>
        <w:rPr>
          <w:b w:val="1"/>
          <w:bCs w:val="1"/>
        </w:rPr>
        <w:t xml:space="preserve">Responsabilidad social:</w:t>
      </w:r>
      <w:r>
        <w:rPr/>
        <w:t xml:space="preserve"> Integración de criterios de equidad, inclusión y respeto en todas las actividades.</w:t>
      </w:r>
    </w:p>
    <w:p>
      <w:pPr>
        <w:numPr>
          <w:ilvl w:val="0"/>
          <w:numId w:val="8"/>
        </w:numPr>
      </w:pPr>
      <w:r>
        <w:rPr>
          <w:b w:val="1"/>
          <w:bCs w:val="1"/>
        </w:rPr>
        <w:t xml:space="preserve">Colaboración:</w:t>
      </w:r>
      <w:r>
        <w:rPr/>
        <w:t xml:space="preserve"> Trabajo efectivo en equipo, participación activa y apoyo a compañeros.</w:t>
      </w:r>
    </w:p>
    <w:p>
      <w:pPr/>
      <w:r>
        <w:rPr/>
        <w:t xml:space="preserve">  Rúbricas Integradas  </w:t>
      </w:r>
    </w:p>
    <w:p>
      <w:pPr/>
      <w:r>
        <w:rPr/>
        <w:t xml:space="preserve">Para cada actividad se utiliza una rúbrica con niveles desde “Insuficiente” hasta “Excelente”, evaluando:</w:t>
      </w:r>
    </w:p>
    <w:p>
      <w:pPr/>
      <w:r>
        <w:rPr/>
        <w:t xml:space="preserve">  </w:t>
      </w:r>
    </w:p>
    <w:p>
      <w:pPr>
        <w:numPr>
          <w:ilvl w:val="0"/>
          <w:numId w:val="9"/>
        </w:numPr>
      </w:pPr>
      <w:r>
        <w:rPr/>
        <w:t xml:space="preserve">Precisión del contenido (datos y conceptos)</w:t>
      </w:r>
    </w:p>
    <w:p>
      <w:pPr>
        <w:numPr>
          <w:ilvl w:val="0"/>
          <w:numId w:val="9"/>
        </w:numPr>
      </w:pPr>
      <w:r>
        <w:rPr/>
        <w:t xml:space="preserve">Creatividad y pertinencia de soluciones</w:t>
      </w:r>
    </w:p>
    <w:p>
      <w:pPr>
        <w:numPr>
          <w:ilvl w:val="0"/>
          <w:numId w:val="9"/>
        </w:numPr>
      </w:pPr>
      <w:r>
        <w:rPr/>
        <w:t xml:space="preserve">Capacidad argumentativa y comunicación</w:t>
      </w:r>
    </w:p>
    <w:p>
      <w:pPr>
        <w:numPr>
          <w:ilvl w:val="0"/>
          <w:numId w:val="9"/>
        </w:numPr>
      </w:pPr>
      <w:r>
        <w:rPr/>
        <w:t xml:space="preserve">Aplicación de principios DEI</w:t>
      </w:r>
    </w:p>
    <w:p>
      <w:pPr>
        <w:numPr>
          <w:ilvl w:val="0"/>
          <w:numId w:val="9"/>
        </w:numPr>
      </w:pPr>
      <w:r>
        <w:rPr/>
        <w:t xml:space="preserve">Participación y compromiso</w:t>
      </w:r>
    </w:p>
    <w:p>
      <w:pPr/>
      <w:r>
        <w:rPr/>
        <w:t xml:space="preserve">  Evidencias de Aprendizaje  </w:t>
      </w:r>
    </w:p>
    <w:p>
      <w:pPr>
        <w:numPr>
          <w:ilvl w:val="0"/>
          <w:numId w:val="10"/>
        </w:numPr>
      </w:pPr>
      <w:r>
        <w:rPr/>
        <w:t xml:space="preserve">Informes de diagnóstico demográfico</w:t>
      </w:r>
    </w:p>
    <w:p>
      <w:pPr>
        <w:numPr>
          <w:ilvl w:val="0"/>
          <w:numId w:val="10"/>
        </w:numPr>
      </w:pPr>
      <w:r>
        <w:rPr/>
        <w:t xml:space="preserve">Materiales y registros de debates</w:t>
      </w:r>
    </w:p>
    <w:p>
      <w:pPr>
        <w:numPr>
          <w:ilvl w:val="0"/>
          <w:numId w:val="10"/>
        </w:numPr>
      </w:pPr>
      <w:r>
        <w:rPr/>
        <w:t xml:space="preserve">Campañas diseñadas con soportes visuales</w:t>
      </w:r>
    </w:p>
    <w:p>
      <w:pPr>
        <w:numPr>
          <w:ilvl w:val="0"/>
          <w:numId w:val="10"/>
        </w:numPr>
      </w:pPr>
      <w:r>
        <w:rPr/>
        <w:t xml:space="preserve">Actas y decisiones de la simulación</w:t>
      </w:r>
    </w:p>
    <w:p>
      <w:pPr>
        <w:numPr>
          <w:ilvl w:val="0"/>
          <w:numId w:val="10"/>
        </w:numPr>
      </w:pPr>
      <w:r>
        <w:rPr/>
        <w:t xml:space="preserve">Bitácoras reflexivas individuales</w:t>
      </w:r>
    </w:p>
    <w:p>
      <w:pPr/>
      <w:r>
        <w:rPr/>
        <w:t xml:space="preserve">  Reflexión Final y Cierre de la Narrativa  </w:t>
      </w:r>
    </w:p>
    <w:p>
      <w:pPr/>
      <w:r>
        <w:rPr/>
        <w:t xml:space="preserve">Al concluir, se realiza una sesión de cierre donde los estudiantes reflexionan sobre el impacto de la demografía en la práctica optométrica, comparten aprendizajes y compromisos para su desarrollo profesional con enfoque inclusivo. Esta reflexión se enlaza con la narrativa del “Optometrista Global” que continúa su misión, motivando a aplicar lo aprendido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Se recomienda distribuir las actividades en un módulo de aproximadamente 3 semanas, con 3-4 sesiones semanales de 2 a 3 horas, para un total de 10-12 horas efectivas de trabajo gamificado.</w:t>
      </w:r>
    </w:p>
    <w:p>
      <w:pPr>
        <w:numPr>
          <w:ilvl w:val="0"/>
          <w:numId w:val="11"/>
        </w:numPr>
      </w:pPr>
      <w:r>
        <w:rPr>
          <w:b w:val="1"/>
          <w:bCs w:val="1"/>
        </w:rPr>
        <w:t xml:space="preserve">Espacio Físico:</w:t>
      </w:r>
      <w:r>
        <w:rPr/>
        <w:t xml:space="preserve">Aula equipada con mesas para trabajo en equipo, pizarra o pantalla para presentaciones y espacio para debates y simulaciones. En caso de modalidad híbrida o virtual, utilizar plataformas de videoconferencia interactivas.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de hojas de cálculo (Excel, Google Sheets)</w:t>
      </w:r>
    </w:p>
    <w:p>
      <w:pPr>
        <w:numPr>
          <w:ilvl w:val="1"/>
          <w:numId w:val="11"/>
        </w:numPr>
      </w:pPr>
      <w:r>
        <w:rPr/>
        <w:t xml:space="preserve">Herramientas para presentaciones (PowerPoint, Canva, Prezi)</w:t>
      </w:r>
    </w:p>
    <w:p>
      <w:pPr>
        <w:numPr>
          <w:ilvl w:val="1"/>
          <w:numId w:val="11"/>
        </w:numPr>
      </w:pPr>
      <w:r>
        <w:rPr/>
        <w:t xml:space="preserve">Plataformas de gestión de aprendizaje con sistemas de puntos (Moodle, Classcraft, Kahoot o similar)</w:t>
      </w:r>
    </w:p>
    <w:p>
      <w:pPr>
        <w:numPr>
          <w:ilvl w:val="1"/>
          <w:numId w:val="11"/>
        </w:numPr>
      </w:pPr>
      <w:r>
        <w:rPr/>
        <w:t xml:space="preserve">Apps o sistemas para crear perfiles digitales y mostrar insignias (Badgr, Credly)</w:t>
      </w:r>
    </w:p>
    <w:p>
      <w:pPr>
        <w:numPr>
          <w:ilvl w:val="0"/>
          <w:numId w:val="11"/>
        </w:numPr>
      </w:pPr>
      <w:r>
        <w:rPr>
          <w:b w:val="1"/>
          <w:bCs w:val="1"/>
        </w:rPr>
        <w:t xml:space="preserve">Tamaño del Grupo:</w:t>
      </w:r>
      <w:r>
        <w:rPr/>
        <w:t xml:space="preserve">Idealmente entre 20 y 30 estudiantes para facilitar el trabajo en equipos y la gestión de actividades, aunque puede adaptarse a grupos mayores con asistentes.</w:t>
      </w:r>
    </w:p>
    <w:p>
      <w:pPr>
        <w:numPr>
          <w:ilvl w:val="0"/>
          <w:numId w:val="11"/>
        </w:numPr>
      </w:pPr>
      <w:r>
        <w:rPr>
          <w:b w:val="1"/>
          <w:bCs w:val="1"/>
        </w:rPr>
        <w:t xml:space="preserve">Preparación Previa del Docente:</w:t>
      </w:r>
    </w:p>
    <w:p>
      <w:pPr>
        <w:numPr>
          <w:ilvl w:val="1"/>
          <w:numId w:val="11"/>
        </w:numPr>
      </w:pPr>
      <w:r>
        <w:rPr/>
        <w:t xml:space="preserve">Familiarizarse con la base de datos demográficos y ejemplos reales</w:t>
      </w:r>
    </w:p>
    <w:p>
      <w:pPr>
        <w:numPr>
          <w:ilvl w:val="1"/>
          <w:numId w:val="11"/>
        </w:numPr>
      </w:pPr>
      <w:r>
        <w:rPr/>
        <w:t xml:space="preserve">Preparar materiales digitales y físicos con anticipación</w:t>
      </w:r>
    </w:p>
    <w:p>
      <w:pPr>
        <w:numPr>
          <w:ilvl w:val="1"/>
          <w:numId w:val="11"/>
        </w:numPr>
      </w:pPr>
      <w:r>
        <w:rPr/>
        <w:t xml:space="preserve">Configurar la plataforma de gamificación y perfiles de estudiantes</w:t>
      </w:r>
    </w:p>
    <w:p>
      <w:pPr>
        <w:numPr>
          <w:ilvl w:val="1"/>
          <w:numId w:val="11"/>
        </w:numPr>
      </w:pPr>
      <w:r>
        <w:rPr/>
        <w:t xml:space="preserve">Diseñar rúbricas adaptadas y criterios claros</w:t>
      </w:r>
    </w:p>
    <w:p>
      <w:pPr>
        <w:numPr>
          <w:ilvl w:val="1"/>
          <w:numId w:val="11"/>
        </w:numPr>
      </w:pPr>
      <w:r>
        <w:rPr/>
        <w:t xml:space="preserve">Capacitarse en técnicas de facilitación para debates y simulaciones inclusivas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gamificación:</w:t>
      </w:r>
      <w:r>
        <w:rPr/>
        <w:t xml:space="preserve"> Explicar claramente beneficios y objetivos desde el inicio, ofrecer motivación constante.</w:t>
      </w:r>
    </w:p>
    <w:p>
      <w:pPr>
        <w:numPr>
          <w:ilvl w:val="1"/>
          <w:numId w:val="11"/>
        </w:numPr>
      </w:pPr>
      <w:r>
        <w:rPr>
          <w:i w:val="1"/>
          <w:iCs w:val="1"/>
        </w:rPr>
        <w:t xml:space="preserve">Diferencias en habilidades tecnológicas:</w:t>
      </w:r>
      <w:r>
        <w:rPr/>
        <w:t xml:space="preserve"> Brindar tutoriales previos y apoyo técnico durante las actividades.</w:t>
      </w:r>
    </w:p>
    <w:p>
      <w:pPr>
        <w:numPr>
          <w:ilvl w:val="1"/>
          <w:numId w:val="11"/>
        </w:numPr>
      </w:pPr>
      <w:r>
        <w:rPr>
          <w:i w:val="1"/>
          <w:iCs w:val="1"/>
        </w:rPr>
        <w:t xml:space="preserve">Conflictos en debates o trabajo en equipo:</w:t>
      </w:r>
      <w:r>
        <w:rPr/>
        <w:t xml:space="preserve"> Establecer normas claras de respeto y mediación activa por parte del docente.</w:t>
      </w:r>
    </w:p>
    <w:p>
      <w:pPr>
        <w:numPr>
          <w:ilvl w:val="1"/>
          <w:numId w:val="11"/>
        </w:numPr>
      </w:pPr>
      <w:r>
        <w:rPr>
          <w:i w:val="1"/>
          <w:iCs w:val="1"/>
        </w:rPr>
        <w:t xml:space="preserve">Acceso limitado a recursos:</w:t>
      </w:r>
      <w:r>
        <w:rPr/>
        <w:t xml:space="preserve"> Preparar materiales impresos alternativos y promover uso compartido de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C7A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146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45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057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306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C25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9C7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A9E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C51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143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BBE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2026-09-25T21:17:12-05:00</dcterms:created>
  <dcterms:modified xsi:type="dcterms:W3CDTF">2026-09-25T21:17:12-05:00</dcterms:modified>
</cp:coreProperties>
</file>

<file path=docProps/custom.xml><?xml version="1.0" encoding="utf-8"?>
<Properties xmlns="http://schemas.openxmlformats.org/officeDocument/2006/custom-properties" xmlns:vt="http://schemas.openxmlformats.org/officeDocument/2006/docPropsVTypes"/>
</file>