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Código de la Vida! Explorando el Genoma Humano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plan de clase está diseñado para explorar el fascinante mundo del genoma humano, donde los estudiantes se embarcarán en un viaje de descubrimiento sobre la biología, la genética y la importancia del ADN. A través de cinco sesiones de 4 horas, los estudiantes participarán en una variedad de actividades prácticas, infográficas y colaborativas que les ayudarán a comprender cómo el genoma humano influye en características físicas, enfermedades y rasgos heredados. Se incorporarán también elementos de matemáticas, permitiendo a los estudiantes calcular probabilidades de herencia y analizar datos genéticos. Las actividades se centrarán en el aprendizaje activo y el trabajo en equipo, fomentando el interés y la curiosidad por la biotecnología y el estudio de la vida misma.</w:t>
      </w:r>
    </w:p>
    <w:p/>
    <w:p>
      <w:pPr/>
      <w:r>
        <w:rPr>
          <w:color w:val="2b6cb0"/>
          <w:sz w:val="28"/>
          <w:szCs w:val="28"/>
          <w:b w:val="1"/>
          <w:bCs w:val="1"/>
        </w:rPr>
        <w:t xml:space="preserve">Objetivos de Aprendizaje</w:t>
      </w:r>
    </w:p>
    <w:p>
      <w:pPr>
        <w:numPr>
          <w:ilvl w:val="0"/>
          <w:numId w:val="1"/>
        </w:numPr>
      </w:pPr>
      <w:r>
        <w:rPr/>
        <w:t xml:space="preserve">Comprender la estructura y función del ADN</w:t>
      </w:r>
    </w:p>
    <w:p>
      <w:pPr>
        <w:numPr>
          <w:ilvl w:val="0"/>
          <w:numId w:val="1"/>
        </w:numPr>
      </w:pPr>
      <w:r>
        <w:rPr/>
        <w:t xml:space="preserve">Identificar los componentes esenciales del genoma humano</w:t>
      </w:r>
    </w:p>
    <w:p>
      <w:pPr>
        <w:numPr>
          <w:ilvl w:val="0"/>
          <w:numId w:val="1"/>
        </w:numPr>
      </w:pPr>
      <w:r>
        <w:rPr/>
        <w:t xml:space="preserve">Analizar la herencia genética mediante ejemplos prácticos</w:t>
      </w:r>
    </w:p>
    <w:p>
      <w:pPr>
        <w:numPr>
          <w:ilvl w:val="0"/>
          <w:numId w:val="1"/>
        </w:numPr>
      </w:pPr>
      <w:r>
        <w:rPr/>
        <w:t xml:space="preserve">Calcular probabilidades de herencia utilizando principios matemáticos</w:t>
      </w:r>
    </w:p>
    <w:p>
      <w:pPr>
        <w:numPr>
          <w:ilvl w:val="0"/>
          <w:numId w:val="1"/>
        </w:numPr>
      </w:pPr>
      <w:r>
        <w:rPr/>
        <w:t xml:space="preserve">Fomentar el trabajo en equipo y la comunicación efectiva en proyectos grupales</w:t>
      </w:r>
    </w:p>
    <w:p>
      <w:pPr>
        <w:numPr>
          <w:ilvl w:val="0"/>
          <w:numId w:val="1"/>
        </w:numPr>
      </w:pPr>
      <w:r>
        <w:rPr/>
        <w:t xml:space="preserve">Valorar la importancia del estudio del genoma humano en la salud y la biotecnología</w:t>
      </w:r>
    </w:p>
    <w:p/>
    <w:p>
      <w:pPr/>
      <w:r>
        <w:rPr>
          <w:color w:val="2b6cb0"/>
          <w:sz w:val="28"/>
          <w:szCs w:val="28"/>
          <w:b w:val="1"/>
          <w:bCs w:val="1"/>
        </w:rPr>
        <w:t xml:space="preserve">Recursos Necesarios</w:t>
      </w:r>
    </w:p>
    <w:p>
      <w:pPr>
        <w:numPr>
          <w:ilvl w:val="0"/>
          <w:numId w:val="2"/>
        </w:numPr>
      </w:pPr>
      <w:r>
        <w:rPr/>
        <w:t xml:space="preserve">Modelos moleculares de ADN</w:t>
      </w:r>
    </w:p>
    <w:p>
      <w:pPr>
        <w:numPr>
          <w:ilvl w:val="0"/>
          <w:numId w:val="2"/>
        </w:numPr>
      </w:pPr>
      <w:r>
        <w:rPr/>
        <w:t xml:space="preserve">Computadoras o tabletas con acceso a internet</w:t>
      </w:r>
    </w:p>
    <w:p>
      <w:pPr>
        <w:numPr>
          <w:ilvl w:val="0"/>
          <w:numId w:val="2"/>
        </w:numPr>
      </w:pPr>
      <w:r>
        <w:rPr/>
        <w:t xml:space="preserve">Gráficos y hojas de trabajo para cálculos de herencia</w:t>
      </w:r>
    </w:p>
    <w:p>
      <w:pPr>
        <w:numPr>
          <w:ilvl w:val="0"/>
          <w:numId w:val="2"/>
        </w:numPr>
      </w:pPr>
      <w:r>
        <w:rPr/>
        <w:t xml:space="preserve">Materiales de arte (papel, marcadores, etc.) para presentaciones</w:t>
      </w:r>
    </w:p>
    <w:p>
      <w:pPr>
        <w:numPr>
          <w:ilvl w:val="0"/>
          <w:numId w:val="2"/>
        </w:numPr>
      </w:pPr>
      <w:r>
        <w:rPr/>
        <w:t xml:space="preserve">Videos educativos sobre genoma humano</w:t>
      </w:r>
    </w:p>
    <w:p>
      <w:pPr>
        <w:numPr>
          <w:ilvl w:val="0"/>
          <w:numId w:val="2"/>
        </w:numPr>
      </w:pPr>
      <w:r>
        <w:rPr/>
        <w:t xml:space="preserve">Juegos interactivos sobre genética y ADN</w:t>
      </w:r>
    </w:p>
    <w:p/>
    <w:p>
      <w:pPr/>
      <w:r>
        <w:rPr>
          <w:color w:val="2b6cb0"/>
          <w:sz w:val="28"/>
          <w:szCs w:val="28"/>
          <w:b w:val="1"/>
          <w:bCs w:val="1"/>
        </w:rPr>
        <w:t xml:space="preserve">Requisitos Previos</w:t>
      </w:r>
    </w:p>
    <w:p>
      <w:pPr>
        <w:numPr>
          <w:ilvl w:val="0"/>
          <w:numId w:val="3"/>
        </w:numPr>
      </w:pPr>
      <w:r>
        <w:rPr/>
        <w:t xml:space="preserve">Conocimientos básicos sobre células y estructuras celulares</w:t>
      </w:r>
    </w:p>
    <w:p>
      <w:pPr>
        <w:numPr>
          <w:ilvl w:val="0"/>
          <w:numId w:val="3"/>
        </w:numPr>
      </w:pPr>
      <w:r>
        <w:rPr/>
        <w:t xml:space="preserve">Familiaridad con conceptos de herencia y características observables</w:t>
      </w:r>
    </w:p>
    <w:p>
      <w:pPr>
        <w:numPr>
          <w:ilvl w:val="0"/>
          <w:numId w:val="3"/>
        </w:numPr>
      </w:pPr>
      <w:r>
        <w:rPr/>
        <w:t xml:space="preserve">Habilidades matemáticas básicas para realizar cálculos simples</w:t>
      </w:r>
    </w:p>
    <w:p/>
    <w:p>
      <w:pPr/>
      <w:r>
        <w:rPr>
          <w:color w:val="2b6cb0"/>
          <w:sz w:val="28"/>
          <w:szCs w:val="28"/>
          <w:b w:val="1"/>
          <w:bCs w:val="1"/>
        </w:rPr>
        <w:t xml:space="preserve">Actividades</w:t>
      </w:r>
    </w:p>
    <w:p>
      <w:pPr/>
      <w:r>
        <w:rPr>
          <w:b w:val="1"/>
          <w:bCs w:val="1"/>
        </w:rPr>
        <w:t xml:space="preserve">Inicio: Presentando el Genoma Humano</w:t>
      </w:r>
    </w:p>
    <w:p>
      <w:pPr/>
      <w:r>
        <w:rPr/>
        <w:t xml:space="preserve">Duración: 60 minutos</w:t>
      </w:r>
    </w:p>
    <w:p>
      <w:pPr/>
      <w:r>
        <w:rPr/>
        <w:t xml:space="preserve">La sesión comenzará con una breve introducción al tema del genoma humano. Se mostrarán imágenes y video que faciliten la comprensión de la estructura del ADN y su importancia. Se fomentará una lluvia de ideas guiada sobre lo que los estudiantes ya conocen acerca del ADN y la genética. Luego, los estudiantes formarán pequeños grupos y discutirán preguntas como: ¿Qué es el ADN? ¿Por qué es importante estudiar el genoma humano? Como tarea complementaria, cada grupo creará un esquema visual que represente un modelo de ADN utilizando materiales artísticos. Esta actividad inicial busca desarrollar tanto la curiosidad como el pensamiento crítico, sentando las bases para las exploraciones posteriores y siendo un elemento motivador para el resto de la unidad.</w:t>
      </w:r>
    </w:p>
    <w:p>
      <w:pPr/>
      <w:r>
        <w:rPr>
          <w:b w:val="1"/>
          <w:bCs w:val="1"/>
        </w:rPr>
        <w:t xml:space="preserve">Desarrollo: Analizando la Herencia Genética</w:t>
      </w:r>
    </w:p>
    <w:p>
      <w:pPr/>
      <w:r>
        <w:rPr/>
        <w:t xml:space="preserve">Duración: 180 minutos</w:t>
      </w:r>
    </w:p>
    <w:p>
      <w:pPr/>
      <w:r>
        <w:rPr/>
        <w:t xml:space="preserve">En esta fase, los estudiantes se sumergirán en el análisis de la herencia genética a través de diferentes estrategias. Comenzaremos con una breve lección sobre Mendel y sus principios de herencia. Luego, se les proporcionará casos prácticos —como rasgos en plantas o en familias humanas—. Utilizando gráficos y tablas, los estudiantes calcularán la probabilidad de herencia de ciertos rasgos y discutirán los resultados y las implicaciones de estos en la biología humana. Posteriormente, en grupos, los estudiantes crearán un vídeo corto que explique un caso de herencia genética, utilizando ejemplos de su vida diaria. Los grupos utilizarán computadoras para investigar casos relevantes y preparar sus presentaciones. Esta fase involucra altamente la matemática, ya que estarán aplicando principios estadísticos e interpretando datos. La actividad no solo fomenta la comprensión conceptual, sino también la colaboración entre pares y la presentación pública de sus hallazgos.</w:t>
      </w:r>
    </w:p>
    <w:p>
      <w:pPr/>
      <w:r>
        <w:rPr>
          <w:b w:val="1"/>
          <w:bCs w:val="1"/>
        </w:rPr>
        <w:t xml:space="preserve">Cierre: Reflexionando sobre el Genoma y la Salud</w:t>
      </w:r>
    </w:p>
    <w:p>
      <w:pPr/>
      <w:r>
        <w:rPr/>
        <w:t xml:space="preserve">Duración: 60 minutos</w:t>
      </w:r>
    </w:p>
    <w:p>
      <w:pPr/>
      <w:r>
        <w:rPr/>
        <w:t xml:space="preserve">En esta fase nos enfocaremos en la conexión entre el genoma humano y la salud. Comenzaremos proyectando un breve documental que muestre cómo se usan los estudios del genoma en la medicina moderna. Luego, los estudiantes estarán en grupos de discusión sobre cómo el conocimiento del genoma puede afectar decisiones en cuanto a salud, prevención de enfermedades y medicina personalizada. Al final de la clase, se les pedirá que realicen un breve examen reflectivo sobre lo aprendido y su relevancia en el mundo actual. Esto no solo avena la reflexión individual, si no que les permite cerrar el ciclo de aprendizaje, conectando conocimiento biológico con la realidad del futuro de la medicina. Además, los estudiantes podrán mostrar sus modelos o infografías finales en una galería de aprendizaje que podemos exhibir en la escuela.</w:t>
      </w:r>
    </w:p>
    <w:p/>
    <w:p>
      <w:pPr/>
      <w:r>
        <w:rPr>
          <w:color w:val="2b6cb0"/>
          <w:sz w:val="28"/>
          <w:szCs w:val="28"/>
          <w:b w:val="1"/>
          <w:bCs w:val="1"/>
        </w:rPr>
        <w:t xml:space="preserve">Evaluación</w:t>
      </w:r>
    </w:p>
    <w:p>
      <w:pPr/>
      <w:r>
        <w:rPr/>
        <w:t xml:space="preserve">Las estrategias de evaluación formativa incluirán observaciones durante las actividades, retroalimentación de pares y autoevaluaciones. Se identificarán momentos clave para la evaluación tras cada fase, asegurando que los estudiantes estén comprendiendo los contenidos. Se utilizarán instrumentos como rúbricas para evaluación de presentaciones grupales, exámenes reflexivos y revisión de trabajos visuales. Consideraremos las habilidades de trabajo en equipo, la creatividad en la presentación, así como la claridad conceptual en las explicaciones. Para atender la diversidad, se ofrecerán diferentes formatos de entrega (escrito, visual o oral). Se evaluará no solo el conocimiento adquirido, sino también la disposición y el interés de los estudiantes en aprender sobre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8FE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0E8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77C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2026-09-28T15:31:27-05:00</dcterms:created>
  <dcterms:modified xsi:type="dcterms:W3CDTF">2026-09-28T15:31:27-05:00</dcterms:modified>
</cp:coreProperties>
</file>

<file path=docProps/custom.xml><?xml version="1.0" encoding="utf-8"?>
<Properties xmlns="http://schemas.openxmlformats.org/officeDocument/2006/custom-properties" xmlns:vt="http://schemas.openxmlformats.org/officeDocument/2006/docPropsVTypes"/>
</file>