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Síndrome Anémico: Signos y Síntomas en Todas las Etapas de la Vida</w:t>
      </w:r>
    </w:p>
    <w:p/>
    <w:p>
      <w:pPr/>
      <w:r>
        <w:rPr>
          <w:color w:val="666666"/>
          <w:sz w:val="20"/>
          <w:szCs w:val="20"/>
          <w:i w:val="1"/>
          <w:iCs w:val="1"/>
        </w:rPr>
        <w:t xml:space="preserve">Ciencias de la Salud | Medicina | Aprendizaje Basado en Problemas</w:t>
      </w:r>
    </w:p>
    <w:p/>
    <w:p>
      <w:pPr/>
      <w:r>
        <w:rPr>
          <w:color w:val="2b6cb0"/>
          <w:sz w:val="28"/>
          <w:szCs w:val="28"/>
          <w:b w:val="1"/>
          <w:bCs w:val="1"/>
        </w:rPr>
        <w:t xml:space="preserve">Descripción</w:t>
      </w:r>
    </w:p>
    <w:p>
      <w:pPr/>
      <w:r>
        <w:rPr/>
        <w:t xml:space="preserve">En este plan de clase, los estudiantes de Medicina explorarán el síndrome anémico, enfocándose en el reconocimiento de sus signos y síntomas durante las distintas etapas de la vida: infancia, adolescencia, adultez y adulto mayor. Comprender estas manifestaciones clínicas es fundamental para un diagnóstico oportuno y un manejo adecuado, lo que impacta directamente en la salud y calidad de vida de los pacientes.</w:t>
      </w:r>
    </w:p>
    <w:p>
      <w:pPr/>
      <w:r>
        <w:rPr/>
        <w:t xml:space="preserve">El aprendizaje se desarrollará mediante la metodología de Aprendizaje Basado en Problemas (ABP), donde los estudiantes analizarán un caso clínico realista que abarca diferentes grupos etarios. Este enfoque promueve el pensamiento crítico, la investigación activa y el trabajo colaborativo, habilidades esenciales para el futuro profesional de la salud.</w:t>
      </w:r>
    </w:p>
    <w:p>
      <w:pPr/>
      <w:r>
        <w:rPr/>
        <w:t xml:space="preserve">Este contenido conecta con su vida profesional futura, ya que el síndrome anémico es una condición común en la práctica médica y su presentación varía según la edad, lo que requiere un entendimiento integral para brindar una atención personalizada y efectiva.</w:t>
      </w:r>
    </w:p>
    <w:p/>
    <w:p>
      <w:pPr/>
      <w:r>
        <w:rPr>
          <w:color w:val="2b6cb0"/>
          <w:sz w:val="28"/>
          <w:szCs w:val="28"/>
          <w:b w:val="1"/>
          <w:bCs w:val="1"/>
        </w:rPr>
        <w:t xml:space="preserve">Objetivos de Aprendizaje</w:t>
      </w:r>
    </w:p>
    <w:p>
      <w:pPr>
        <w:numPr>
          <w:ilvl w:val="0"/>
          <w:numId w:val="1"/>
        </w:numPr>
      </w:pPr>
      <w:r>
        <w:rPr/>
        <w:t xml:space="preserve">Reconocer los signos y síntomas característicos del síndrome anémico en la infancia, adolescencia, adultez y adulto mayor.</w:t>
      </w:r>
    </w:p>
    <w:p>
      <w:pPr>
        <w:numPr>
          <w:ilvl w:val="0"/>
          <w:numId w:val="1"/>
        </w:numPr>
      </w:pPr>
      <w:r>
        <w:rPr/>
        <w:t xml:space="preserve">Analizar un caso clínico para identificar manifestaciones clínicas del síndrome anémico según la etapa de vida.</w:t>
      </w:r>
    </w:p>
    <w:p>
      <w:pPr>
        <w:numPr>
          <w:ilvl w:val="0"/>
          <w:numId w:val="1"/>
        </w:numPr>
      </w:pPr>
      <w:r>
        <w:rPr/>
        <w:t xml:space="preserve">Comparar las diferencias y similitudes en la presentación clínica del síndrome anémico entre diferentes grupos etarios.</w:t>
      </w:r>
    </w:p>
    <w:p>
      <w:pPr>
        <w:numPr>
          <w:ilvl w:val="0"/>
          <w:numId w:val="1"/>
        </w:numPr>
      </w:pPr>
      <w:r>
        <w:rPr/>
        <w:t xml:space="preserve">Argumentar la importancia del diagnóstico temprano del síndrome anémico para mejorar el pronóstico del paciente.</w:t>
      </w:r>
    </w:p>
    <w:p/>
    <w:p>
      <w:pPr/>
      <w:r>
        <w:rPr>
          <w:color w:val="2b6cb0"/>
          <w:sz w:val="28"/>
          <w:szCs w:val="28"/>
          <w:b w:val="1"/>
          <w:bCs w:val="1"/>
        </w:rPr>
        <w:t xml:space="preserve">Recursos Necesarios</w:t>
      </w:r>
    </w:p>
    <w:p>
      <w:pPr>
        <w:numPr>
          <w:ilvl w:val="0"/>
          <w:numId w:val="2"/>
        </w:numPr>
      </w:pPr>
      <w:r>
        <w:rPr/>
        <w:t xml:space="preserve">Proyector y computadora con acceso a internet para presentación multimedia.</w:t>
      </w:r>
    </w:p>
    <w:p>
      <w:pPr>
        <w:numPr>
          <w:ilvl w:val="0"/>
          <w:numId w:val="2"/>
        </w:numPr>
      </w:pPr>
      <w:r>
        <w:rPr/>
        <w:t xml:space="preserve">Impresiones del caso clínico detallado (1 por estudiante).</w:t>
      </w:r>
    </w:p>
    <w:p>
      <w:pPr>
        <w:numPr>
          <w:ilvl w:val="0"/>
          <w:numId w:val="2"/>
        </w:numPr>
      </w:pPr>
      <w:r>
        <w:rPr/>
        <w:t xml:space="preserve">Hojas y bolígrafos para toma de notas y elaboración de esquemas.</w:t>
      </w:r>
    </w:p>
    <w:p>
      <w:pPr>
        <w:numPr>
          <w:ilvl w:val="0"/>
          <w:numId w:val="2"/>
        </w:numPr>
      </w:pPr>
      <w:r>
        <w:rPr/>
        <w:t xml:space="preserve">Pizarra blanca con marcadores para discusión grupal.</w:t>
      </w:r>
    </w:p>
    <w:p>
      <w:pPr>
        <w:numPr>
          <w:ilvl w:val="0"/>
          <w:numId w:val="2"/>
        </w:numPr>
      </w:pPr>
      <w:r>
        <w:rPr/>
        <w:t xml:space="preserve">Acceso a bases de datos médicas o libros digitales durante la sesión para consulta.</w:t>
      </w:r>
    </w:p>
    <w:p/>
    <w:p>
      <w:pPr/>
      <w:r>
        <w:rPr>
          <w:color w:val="2b6cb0"/>
          <w:sz w:val="28"/>
          <w:szCs w:val="28"/>
          <w:b w:val="1"/>
          <w:bCs w:val="1"/>
        </w:rPr>
        <w:t xml:space="preserve">Requisitos Previos</w:t>
      </w:r>
    </w:p>
    <w:p>
      <w:pPr>
        <w:numPr>
          <w:ilvl w:val="0"/>
          <w:numId w:val="3"/>
        </w:numPr>
      </w:pPr>
      <w:r>
        <w:rPr/>
        <w:t xml:space="preserve">Conocimientos básicos de fisiología y anatomía sanguínea.</w:t>
      </w:r>
    </w:p>
    <w:p>
      <w:pPr>
        <w:numPr>
          <w:ilvl w:val="0"/>
          <w:numId w:val="3"/>
        </w:numPr>
      </w:pPr>
      <w:r>
        <w:rPr/>
        <w:t xml:space="preserve">Entendimiento previo del concepto general de anemia y sus causas.</w:t>
      </w:r>
    </w:p>
    <w:p>
      <w:pPr>
        <w:numPr>
          <w:ilvl w:val="0"/>
          <w:numId w:val="3"/>
        </w:numPr>
      </w:pPr>
      <w:r>
        <w:rPr/>
        <w:t xml:space="preserve">Habilidades básicas en análisis crítico de casos clínicos.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se abordará el reconocimiento de signos y síntomas del síndrome anémico en diferentes etapas de la vida, enfatizando su importancia para un diagnóstico clínico acertado y oportuno.</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Plantea la siguiente pregunta para discusión rápida: "¿Cuáles creen que son los signos más evidentes de anemia en un niño, y cómo podrían variar en un adulto mayor?"</w:t>
      </w:r>
    </w:p>
    <w:p>
      <w:pPr>
        <w:numPr>
          <w:ilvl w:val="0"/>
          <w:numId w:val="4"/>
        </w:numPr>
      </w:pPr>
      <w:r>
        <w:rPr>
          <w:b w:val="1"/>
          <w:bCs w:val="1"/>
        </w:rPr>
        <w:t xml:space="preserve">Estudiantes:</w:t>
      </w:r>
      <w:r>
        <w:rPr/>
        <w:t xml:space="preserve"> Responden oralmente o en voz baja, compartiendo ideas breves y experiencias previas.</w:t>
      </w:r>
    </w:p>
    <w:p>
      <w:pPr/>
      <w:r>
        <w:rPr>
          <w:b w:val="1"/>
          <w:bCs w:val="1"/>
        </w:rPr>
        <w:t xml:space="preserve">Motivación y enganche:</w:t>
      </w:r>
    </w:p>
    <w:p>
      <w:pPr>
        <w:numPr>
          <w:ilvl w:val="0"/>
          <w:numId w:val="5"/>
        </w:numPr>
      </w:pPr>
      <w:r>
        <w:rPr>
          <w:b w:val="1"/>
          <w:bCs w:val="1"/>
        </w:rPr>
        <w:t xml:space="preserve">Docente:</w:t>
      </w:r>
      <w:r>
        <w:rPr/>
        <w:t xml:space="preserve"> Presenta un dato impactante: "El síndrome anémico afecta aproximadamente al 25% de la población mundial, y su presentación clínica puede ser sutil en adultos mayores, lo que dificulta su diagnóstico."</w:t>
      </w:r>
    </w:p>
    <w:p>
      <w:pPr>
        <w:numPr>
          <w:ilvl w:val="0"/>
          <w:numId w:val="5"/>
        </w:numPr>
      </w:pPr>
      <w:r>
        <w:rPr>
          <w:b w:val="1"/>
          <w:bCs w:val="1"/>
        </w:rPr>
        <w:t xml:space="preserve">Estudiantes:</w:t>
      </w:r>
      <w:r>
        <w:rPr/>
        <w:t xml:space="preserve"> Reflexionan sobre la relevancia del tema y se sienten motivados a profundizar en el reconocimiento clínico.</w:t>
      </w:r>
    </w:p>
    <w:p>
      <w:pPr/>
      <w:r>
        <w:rPr>
          <w:b w:val="1"/>
          <w:bCs w:val="1"/>
        </w:rPr>
        <w:t xml:space="preserve">Contextualización:</w:t>
      </w:r>
    </w:p>
    <w:p>
      <w:pPr/>
      <w:r>
        <w:rPr>
          <w:b w:val="1"/>
          <w:bCs w:val="1"/>
        </w:rPr>
        <w:t xml:space="preserve">Docente:</w:t>
      </w:r>
      <w:r>
        <w:rPr/>
        <w:t xml:space="preserve"> Conecta el tema con la práctica médica cotidiana, explicando que identificar correctamente los signos y síntomas en cada etapa de la vida es crucial para prevenir complicaciones graves y mejorar la calidad de vida de los pacientes.</w:t>
      </w:r>
    </w:p>
    <w:p>
      <w:pPr/>
      <w:r>
        <w:rPr>
          <w:b w:val="1"/>
          <w:bCs w:val="1"/>
        </w:rPr>
        <w:t xml:space="preserve">Estudiantes:</w:t>
      </w:r>
      <w:r>
        <w:rPr/>
        <w:t xml:space="preserve"> Comprenden la importancia práctica y se preparan para el análisis activo.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un caso clínico complejo que incluye cuatro pacientes hipotéticos: un niño, un adolescente, un adulto y un adulto mayor con síndrome anémico. Enfatiza que el grupo debe identificar signos y síntomas específicos de cada paciente y relacionarlos con la etapa de vida.</w:t>
      </w:r>
    </w:p>
    <w:p>
      <w:pPr/>
      <w:r>
        <w:rPr>
          <w:b w:val="1"/>
          <w:bCs w:val="1"/>
        </w:rPr>
        <w:t xml:space="preserve">Actividad 1: Análisis de caso clínico por etapas etarias</w:t>
      </w:r>
    </w:p>
    <w:p>
      <w:pPr>
        <w:numPr>
          <w:ilvl w:val="0"/>
          <w:numId w:val="6"/>
        </w:numPr>
      </w:pPr>
      <w:r>
        <w:rPr>
          <w:b w:val="1"/>
          <w:bCs w:val="1"/>
        </w:rPr>
        <w:t xml:space="preserve">Objetivo:</w:t>
      </w:r>
      <w:r>
        <w:rPr/>
        <w:t xml:space="preserve"> Reconocer signos y síntomas del síndrome anémico en diferentes edades.</w:t>
      </w:r>
    </w:p>
    <w:p>
      <w:pPr>
        <w:numPr>
          <w:ilvl w:val="0"/>
          <w:numId w:val="6"/>
        </w:numPr>
      </w:pPr>
      <w:r>
        <w:rPr>
          <w:b w:val="1"/>
          <w:bCs w:val="1"/>
        </w:rPr>
        <w:t xml:space="preserve">Instrucciones:</w:t>
      </w:r>
    </w:p>
    <w:p>
      <w:pPr>
        <w:numPr>
          <w:ilvl w:val="1"/>
          <w:numId w:val="6"/>
        </w:numPr>
      </w:pPr>
      <w:r>
        <w:rPr/>
        <w:t xml:space="preserve">El docente entrega a cada estudiante una copia del caso clínico con detalles específicos para cada paciente.</w:t>
      </w:r>
    </w:p>
    <w:p>
      <w:pPr>
        <w:numPr>
          <w:ilvl w:val="1"/>
          <w:numId w:val="6"/>
        </w:numPr>
      </w:pPr>
      <w:r>
        <w:rPr/>
        <w:t xml:space="preserve">Los estudiantes leen individualmente el caso y subrayan signos y síntomas clave.</w:t>
      </w:r>
    </w:p>
    <w:p>
      <w:pPr>
        <w:numPr>
          <w:ilvl w:val="1"/>
          <w:numId w:val="6"/>
        </w:numPr>
      </w:pPr>
      <w:r>
        <w:rPr/>
        <w:t xml:space="preserve">En grupos de 4 (cada uno representando una etapa de vida), discuten y elaboran una lista de signos y síntomas predominantes para su paciente.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Lista escrita de signos y síntomas para cada etapa etaria.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Observa, formula preguntas guía como "¿Por qué creen que este síntoma es más frecuente en esta etapa?", y apoya aclarando dudas.</w:t>
      </w:r>
    </w:p>
    <w:p>
      <w:pPr/>
      <w:r>
        <w:rPr>
          <w:b w:val="1"/>
          <w:bCs w:val="1"/>
        </w:rPr>
        <w:t xml:space="preserve">Transición:</w:t>
      </w:r>
    </w:p>
    <w:p>
      <w:pPr/>
      <w:r>
        <w:rPr>
          <w:b w:val="1"/>
          <w:bCs w:val="1"/>
        </w:rPr>
        <w:t xml:space="preserve">Docente:</w:t>
      </w:r>
      <w:r>
        <w:rPr/>
        <w:t xml:space="preserve"> Solicita que cada grupo prepare una breve explicación para compartir con la clase.</w:t>
      </w:r>
    </w:p>
    <w:p>
      <w:pPr/>
      <w:r>
        <w:rPr>
          <w:b w:val="1"/>
          <w:bCs w:val="1"/>
        </w:rPr>
        <w:t xml:space="preserve">Actividad 2: Puesta en común y comparación intergrupal</w:t>
      </w:r>
    </w:p>
    <w:p>
      <w:pPr>
        <w:numPr>
          <w:ilvl w:val="0"/>
          <w:numId w:val="7"/>
        </w:numPr>
      </w:pPr>
      <w:r>
        <w:rPr>
          <w:b w:val="1"/>
          <w:bCs w:val="1"/>
        </w:rPr>
        <w:t xml:space="preserve">Objetivo:</w:t>
      </w:r>
      <w:r>
        <w:rPr/>
        <w:t xml:space="preserve"> Comparar diferencias y similitudes en la presentación clínica del síndrome anémico según la edad.</w:t>
      </w:r>
    </w:p>
    <w:p>
      <w:pPr>
        <w:numPr>
          <w:ilvl w:val="0"/>
          <w:numId w:val="7"/>
        </w:numPr>
      </w:pPr>
      <w:r>
        <w:rPr>
          <w:b w:val="1"/>
          <w:bCs w:val="1"/>
        </w:rPr>
        <w:t xml:space="preserve">Instrucciones:</w:t>
      </w:r>
    </w:p>
    <w:p>
      <w:pPr>
        <w:numPr>
          <w:ilvl w:val="1"/>
          <w:numId w:val="7"/>
        </w:numPr>
      </w:pPr>
      <w:r>
        <w:rPr/>
        <w:t xml:space="preserve">Cada grupo expone en plenaria los signos y síntomas identificados para su etapa de vida.</w:t>
      </w:r>
    </w:p>
    <w:p>
      <w:pPr>
        <w:numPr>
          <w:ilvl w:val="1"/>
          <w:numId w:val="7"/>
        </w:numPr>
      </w:pPr>
      <w:r>
        <w:rPr/>
        <w:t xml:space="preserve">El docente modera, destacando similitudes y diferencias, y registra en la pizarra un cuadro comparativo con la participación de los estudiantes.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Cuadro comparativo en pizarra con signos y síntomas por grupo etario.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 la discusión, formula preguntas de profundización como "¿Cómo afecta la fisiología de cada edad estos signos?", y sintetiza la información.</w:t>
      </w:r>
    </w:p>
    <w:p>
      <w:pPr/>
      <w:r>
        <w:rPr>
          <w:b w:val="1"/>
          <w:bCs w:val="1"/>
        </w:rPr>
        <w:t xml:space="preserve">Transición:</w:t>
      </w:r>
    </w:p>
    <w:p>
      <w:pPr/>
      <w:r>
        <w:rPr>
          <w:b w:val="1"/>
          <w:bCs w:val="1"/>
        </w:rPr>
        <w:t xml:space="preserve">Docente:</w:t>
      </w:r>
      <w:r>
        <w:rPr/>
        <w:t xml:space="preserve"> Propone una reflexión final sobre la importancia del diagnóstico temprano y la variabilidad clínica.</w:t>
      </w:r>
    </w:p>
    <w:p>
      <w:pPr/>
      <w:r>
        <w:rPr>
          <w:b w:val="1"/>
          <w:bCs w:val="1"/>
        </w:rPr>
        <w:t xml:space="preserve">Actividad 3: Debate breve - Importancia clínica del diagnóstico temprano</w:t>
      </w:r>
    </w:p>
    <w:p>
      <w:pPr>
        <w:numPr>
          <w:ilvl w:val="0"/>
          <w:numId w:val="8"/>
        </w:numPr>
      </w:pPr>
      <w:r>
        <w:rPr>
          <w:b w:val="1"/>
          <w:bCs w:val="1"/>
        </w:rPr>
        <w:t xml:space="preserve">Objetivo:</w:t>
      </w:r>
      <w:r>
        <w:rPr/>
        <w:t xml:space="preserve"> Argumentar la relevancia del diagnóstico oportuno del síndrome anémico para mejorar el pronóstico.</w:t>
      </w:r>
    </w:p>
    <w:p>
      <w:pPr>
        <w:numPr>
          <w:ilvl w:val="0"/>
          <w:numId w:val="8"/>
        </w:numPr>
      </w:pPr>
      <w:r>
        <w:rPr>
          <w:b w:val="1"/>
          <w:bCs w:val="1"/>
        </w:rPr>
        <w:t xml:space="preserve">Instrucciones:</w:t>
      </w:r>
    </w:p>
    <w:p>
      <w:pPr>
        <w:numPr>
          <w:ilvl w:val="1"/>
          <w:numId w:val="8"/>
        </w:numPr>
      </w:pPr>
      <w:r>
        <w:rPr/>
        <w:t xml:space="preserve">En parejas, los estudiantes discuten durante 5 minutos los riesgos de no reconocer a tiempo los signos y síntomas de anemia en sus pacientes.</w:t>
      </w:r>
    </w:p>
    <w:p>
      <w:pPr>
        <w:numPr>
          <w:ilvl w:val="1"/>
          <w:numId w:val="8"/>
        </w:numPr>
      </w:pPr>
      <w:r>
        <w:rPr/>
        <w:t xml:space="preserve">Luego, comparten algunas conclusiones con el grupo grande.</w:t>
      </w:r>
    </w:p>
    <w:p>
      <w:pPr>
        <w:numPr>
          <w:ilvl w:val="0"/>
          <w:numId w:val="8"/>
        </w:numPr>
      </w:pPr>
      <w:r>
        <w:rPr>
          <w:b w:val="1"/>
          <w:bCs w:val="1"/>
        </w:rPr>
        <w:t xml:space="preserve">Organización:</w:t>
      </w:r>
      <w:r>
        <w:rPr/>
        <w:t xml:space="preserve"> Parejas y plenaria.</w:t>
      </w:r>
    </w:p>
    <w:p>
      <w:pPr>
        <w:numPr>
          <w:ilvl w:val="0"/>
          <w:numId w:val="8"/>
        </w:numPr>
      </w:pPr>
      <w:r>
        <w:rPr>
          <w:b w:val="1"/>
          <w:bCs w:val="1"/>
        </w:rPr>
        <w:t xml:space="preserve">Producto:</w:t>
      </w:r>
      <w:r>
        <w:rPr/>
        <w:t xml:space="preserve"> Ideas clave expresadas oralmente.</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Escucha, retroalimenta y enfatiza puntos críticos para la práctica clínica.</w:t>
      </w:r>
    </w:p>
    <w:p>
      <w:pPr/>
      <w:r>
        <w:rPr>
          <w:b w:val="1"/>
          <w:bCs w:val="1"/>
        </w:rPr>
        <w:t xml:space="preserve">Diferenciación:</w:t>
      </w:r>
    </w:p>
    <w:p>
      <w:pPr>
        <w:numPr>
          <w:ilvl w:val="0"/>
          <w:numId w:val="9"/>
        </w:numPr>
      </w:pPr>
      <w:r>
        <w:rPr/>
        <w:t xml:space="preserve">Para estudiantes que terminan antes: Se les invita a investigar brevemente causas específicas de anemia en cada grupo etario y compartir en un foro virtual post-clase.</w:t>
      </w:r>
    </w:p>
    <w:p>
      <w:pPr>
        <w:numPr>
          <w:ilvl w:val="0"/>
          <w:numId w:val="9"/>
        </w:numPr>
      </w:pPr>
      <w:r>
        <w:rPr/>
        <w:t xml:space="preserve">Para estudiantes con dificultades: El docente provee apoyo guiado durante el análisis del caso, ofreciendo ejemplos adicionales y aclarando conceptos.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0"/>
        </w:numPr>
      </w:pPr>
      <w:r>
        <w:rPr>
          <w:b w:val="1"/>
          <w:bCs w:val="1"/>
        </w:rPr>
        <w:t xml:space="preserve">Docente:</w:t>
      </w:r>
      <w:r>
        <w:rPr/>
        <w:t xml:space="preserve"> Invita a los estudiantes a elaborar un "ticket de salida" escrito donde respondan: "Menciona tres signos o síntomas claves del síndrome anémico que varían según la edad y justifica brevemente por qué."</w:t>
      </w:r>
    </w:p>
    <w:p>
      <w:pPr>
        <w:numPr>
          <w:ilvl w:val="0"/>
          <w:numId w:val="10"/>
        </w:numPr>
      </w:pPr>
      <w:r>
        <w:rPr>
          <w:b w:val="1"/>
          <w:bCs w:val="1"/>
        </w:rPr>
        <w:t xml:space="preserve">Estudiantes:</w:t>
      </w:r>
      <w:r>
        <w:rPr/>
        <w:t xml:space="preserve"> Escriben sus respuestas individualmente y entregan al docente.</w:t>
      </w:r>
    </w:p>
    <w:p>
      <w:pPr/>
      <w:r>
        <w:rPr>
          <w:b w:val="1"/>
          <w:bCs w:val="1"/>
        </w:rPr>
        <w:t xml:space="preserve">Reflexión metacognitiva:</w:t>
      </w:r>
    </w:p>
    <w:p>
      <w:pPr>
        <w:numPr>
          <w:ilvl w:val="0"/>
          <w:numId w:val="11"/>
        </w:numPr>
      </w:pPr>
      <w:r>
        <w:rPr/>
        <w:t xml:space="preserve">¿Cómo influye la edad del paciente en la presentación clínica del síndrome anémico?</w:t>
      </w:r>
    </w:p>
    <w:p>
      <w:pPr>
        <w:numPr>
          <w:ilvl w:val="0"/>
          <w:numId w:val="11"/>
        </w:numPr>
      </w:pPr>
      <w:r>
        <w:rPr/>
        <w:t xml:space="preserve">¿Qué dificultades encontraste al identificar los signos y síntomas en diferentes etapas de la vida?</w:t>
      </w:r>
    </w:p>
    <w:p>
      <w:pPr>
        <w:numPr>
          <w:ilvl w:val="0"/>
          <w:numId w:val="11"/>
        </w:numPr>
      </w:pPr>
      <w:r>
        <w:rPr/>
        <w:t xml:space="preserve">¿Cómo aplicarás este conocimiento en tu práctica médica futura?</w:t>
      </w:r>
    </w:p>
    <w:p>
      <w:pPr/>
      <w:r>
        <w:rPr>
          <w:b w:val="1"/>
          <w:bCs w:val="1"/>
        </w:rPr>
        <w:t xml:space="preserve">Retroalimentación:</w:t>
      </w:r>
    </w:p>
    <w:p>
      <w:pPr/>
      <w:r>
        <w:rPr>
          <w:b w:val="1"/>
          <w:bCs w:val="1"/>
        </w:rPr>
        <w:t xml:space="preserve">Docente:</w:t>
      </w:r>
      <w:r>
        <w:rPr/>
        <w:t xml:space="preserve"> Lee algunas respuestas en voz alta, ofrece comentarios constructivos y esclarece dudas finales.</w:t>
      </w:r>
    </w:p>
    <w:p>
      <w:pPr/>
      <w:r>
        <w:rPr>
          <w:b w:val="1"/>
          <w:bCs w:val="1"/>
        </w:rPr>
        <w:t xml:space="preserve">Transferencia:</w:t>
      </w:r>
    </w:p>
    <w:p>
      <w:pPr/>
      <w:r>
        <w:rPr>
          <w:b w:val="1"/>
          <w:bCs w:val="1"/>
        </w:rPr>
        <w:t xml:space="preserve">Docente:</w:t>
      </w:r>
      <w:r>
        <w:rPr/>
        <w:t xml:space="preserve"> Explica que el siguiente tema abordará el diagnóstico diferencial y pruebas complementarias para el síndrome anémico, lo que complementará el aprendizaje actual.</w:t>
      </w:r>
    </w:p>
    <w:p>
      <w:pPr/>
      <w:r>
        <w:rPr>
          <w:b w:val="1"/>
          <w:bCs w:val="1"/>
        </w:rPr>
        <w:t xml:space="preserve">Tarea o reto:</w:t>
      </w:r>
    </w:p>
    <w:p>
      <w:pPr/>
      <w:r>
        <w:rPr>
          <w:b w:val="1"/>
          <w:bCs w:val="1"/>
        </w:rPr>
        <w:t xml:space="preserve">Docente:</w:t>
      </w:r>
      <w:r>
        <w:rPr/>
        <w:t xml:space="preserve"> Propone investigar en fuentes confiables un caso real de anemia en adulto mayor y preparar un breve resumen para compartir en la próxima sesión.</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y participación en actividades), y sumativa al cierre con el ticket de salida.</w:t>
      </w:r>
    </w:p>
    <w:p>
      <w:pPr/>
      <w:r>
        <w:rPr>
          <w:b w:val="1"/>
          <w:bCs w:val="1"/>
        </w:rPr>
        <w:t xml:space="preserve">Criterios de evaluación:</w:t>
      </w:r>
    </w:p>
    <w:p>
      <w:pPr>
        <w:numPr>
          <w:ilvl w:val="0"/>
          <w:numId w:val="12"/>
        </w:numPr>
      </w:pPr>
      <w:r>
        <w:rPr/>
        <w:t xml:space="preserve">Identificación precisa de signos y síntomas del síndrome anémico en distintas etapas de la vida (Objetivo 1).</w:t>
      </w:r>
    </w:p>
    <w:p>
      <w:pPr>
        <w:numPr>
          <w:ilvl w:val="0"/>
          <w:numId w:val="12"/>
        </w:numPr>
      </w:pPr>
      <w:r>
        <w:rPr/>
        <w:t xml:space="preserve">Capacidad para analizar y discutir un caso clínico con base en evidencia (Objetivo 2).</w:t>
      </w:r>
    </w:p>
    <w:p>
      <w:pPr>
        <w:numPr>
          <w:ilvl w:val="0"/>
          <w:numId w:val="12"/>
        </w:numPr>
      </w:pPr>
      <w:r>
        <w:rPr/>
        <w:t xml:space="preserve">Comparación adecuada de manifestaciones clínicas según edad (Objetivo 3).</w:t>
      </w:r>
    </w:p>
    <w:p>
      <w:pPr>
        <w:numPr>
          <w:ilvl w:val="0"/>
          <w:numId w:val="12"/>
        </w:numPr>
      </w:pPr>
      <w:r>
        <w:rPr/>
        <w:t xml:space="preserve">Argumentación fundamentada sobre la importancia del diagnóstico temprano (Objetivo 4).</w:t>
      </w:r>
    </w:p>
    <w:p>
      <w:pPr/>
      <w:r>
        <w:rPr>
          <w:b w:val="1"/>
          <w:bCs w:val="1"/>
        </w:rPr>
        <w:t xml:space="preserve">Instrumentos sugeridos:</w:t>
      </w:r>
    </w:p>
    <w:p>
      <w:pPr>
        <w:numPr>
          <w:ilvl w:val="0"/>
          <w:numId w:val="13"/>
        </w:numPr>
      </w:pPr>
      <w:r>
        <w:rPr/>
        <w:t xml:space="preserve">Lista de cotejo para participación y análisis en actividades grupales.</w:t>
      </w:r>
    </w:p>
    <w:p>
      <w:pPr>
        <w:numPr>
          <w:ilvl w:val="0"/>
          <w:numId w:val="13"/>
        </w:numPr>
      </w:pPr>
      <w:r>
        <w:rPr/>
        <w:t xml:space="preserve">Rúbrica para evaluar el ticket de salida considerando claridad, precisión y argumentación.</w:t>
      </w:r>
    </w:p>
    <w:p>
      <w:pPr>
        <w:numPr>
          <w:ilvl w:val="0"/>
          <w:numId w:val="13"/>
        </w:numPr>
      </w:pPr>
      <w:r>
        <w:rPr/>
        <w:t xml:space="preserve">Observación directa durante debates y exposiciones.</w:t>
      </w:r>
    </w:p>
    <w:p>
      <w:pPr/>
      <w:r>
        <w:rPr>
          <w:b w:val="1"/>
          <w:bCs w:val="1"/>
        </w:rPr>
        <w:t xml:space="preserve">Evidencias de aprendizaje:</w:t>
      </w:r>
    </w:p>
    <w:p>
      <w:pPr>
        <w:numPr>
          <w:ilvl w:val="0"/>
          <w:numId w:val="14"/>
        </w:numPr>
      </w:pPr>
      <w:r>
        <w:rPr/>
        <w:t xml:space="preserve">Listas de signos y síntomas elaboradas en grupos.</w:t>
      </w:r>
    </w:p>
    <w:p>
      <w:pPr>
        <w:numPr>
          <w:ilvl w:val="0"/>
          <w:numId w:val="14"/>
        </w:numPr>
      </w:pPr>
      <w:r>
        <w:rPr/>
        <w:t xml:space="preserve">Cuadro comparativo elaborado en plenaria.</w:t>
      </w:r>
    </w:p>
    <w:p>
      <w:pPr>
        <w:numPr>
          <w:ilvl w:val="0"/>
          <w:numId w:val="14"/>
        </w:numPr>
      </w:pPr>
      <w:r>
        <w:rPr/>
        <w:t xml:space="preserve">Participación en debate y respuestas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D4A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3D7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0A7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AB6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F1E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AD8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47D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C40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79B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B2E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C76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00F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8D4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0546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2026-09-26T06:39:15-05:00</dcterms:created>
  <dcterms:modified xsi:type="dcterms:W3CDTF">2026-09-26T06:39:15-05:00</dcterms:modified>
</cp:coreProperties>
</file>

<file path=docProps/custom.xml><?xml version="1.0" encoding="utf-8"?>
<Properties xmlns="http://schemas.openxmlformats.org/officeDocument/2006/custom-properties" xmlns:vt="http://schemas.openxmlformats.org/officeDocument/2006/docPropsVTypes"/>
</file>