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ABO en acción: identifica, decide y transfunde con seguridad</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aprendizaje colaborativo introduce a los estudiantes de educación técnica/tecnológica en el sistema de grupos sanguíneos ABO y en su importancia para la atención segura en salud. Durante tres sesiones, los estudiantes relacionarán los antígenos A y B presentes en los eritrocitos con los anticuerpos del plasma, interpretarán pruebas simuladas de tipificación y resolverán situaciones de compatibilidad transfusional.</w:t>
      </w:r>
    </w:p>
    <w:p>
      <w:pPr/>
      <w:r>
        <w:rPr/>
        <w:t xml:space="preserve">El aprendizaje se desarrollará mediante equipos pequeños con roles rotativos: coordinador, analista, relator y verificador de seguridad. Los estudiantes construirán modelos, analizarán casos clínicos simplificados, elaborarán tablas de compatibilidad y argumentarán sus decisiones utilizando vocabulario técnico básico. Se enfatizará que la compatibilidad ABO es fundamental para prevenir reacciones hemolíticas graves, pero que en la práctica también deben comprobarse el factor Rh, la identificación del paciente, la prueba cruzada y los protocolos institucionales.</w:t>
      </w:r>
    </w:p>
    <w:p>
      <w:pPr/>
      <w:r>
        <w:rPr/>
        <w:t xml:space="preserve">Las actividades se conectan con situaciones reales de urgencias, bancos de sangre, laboratorios clínicos, donación de sangre y atención prehospitalaria. No se utilizará sangre humana ni muestras biológicas reales; todas las prácticas serán simuladas con tarjetas, láminas y materiales seguros. Al finalizar, cada estudiante podrá interpretar resultados ABO, determinar compatibilidades básicas de concentrados de glóbulos rojos, reconocer incompatibilidades y explicar por qué la verificación rigurosa protege la vida del paciente.</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antígenos A y B y los anticuerpos anti-A y anti-B que caracterizan los grupos sanguíneos ABO.</w:t>
      </w:r>
    </w:p>
    <w:p>
      <w:pPr>
        <w:numPr>
          <w:ilvl w:val="0"/>
          <w:numId w:val="1"/>
        </w:numPr>
      </w:pPr>
      <w:r>
        <w:rPr>
          <w:b w:val="1"/>
          <w:bCs w:val="1"/>
        </w:rPr>
        <w:t xml:space="preserve">Interpretar</w:t>
      </w:r>
      <w:r>
        <w:rPr/>
        <w:t xml:space="preserve"> resultados simulados de tipificación ABO mediante la observación de aglutinación con reactivos anti-A y anti-B.</w:t>
      </w:r>
    </w:p>
    <w:p>
      <w:pPr>
        <w:numPr>
          <w:ilvl w:val="0"/>
          <w:numId w:val="1"/>
        </w:numPr>
      </w:pPr>
      <w:r>
        <w:rPr>
          <w:b w:val="1"/>
          <w:bCs w:val="1"/>
        </w:rPr>
        <w:t xml:space="preserve">Determinar</w:t>
      </w:r>
      <w:r>
        <w:rPr/>
        <w:t xml:space="preserve"> la compatibilidad ABO básica para transfusión de concentrados de glóbulos rojos y reconocer sus principales limitaciones.</w:t>
      </w:r>
    </w:p>
    <w:p>
      <w:pPr>
        <w:numPr>
          <w:ilvl w:val="0"/>
          <w:numId w:val="1"/>
        </w:numPr>
      </w:pPr>
      <w:r>
        <w:rPr>
          <w:b w:val="1"/>
          <w:bCs w:val="1"/>
        </w:rPr>
        <w:t xml:space="preserve">Analizar</w:t>
      </w:r>
      <w:r>
        <w:rPr/>
        <w:t xml:space="preserve"> casos clínicos sencillos y justificar decisiones relacionadas con la selección segura de sangre.</w:t>
      </w:r>
    </w:p>
    <w:p>
      <w:pPr>
        <w:numPr>
          <w:ilvl w:val="0"/>
          <w:numId w:val="1"/>
        </w:numPr>
      </w:pPr>
      <w:r>
        <w:rPr>
          <w:b w:val="1"/>
          <w:bCs w:val="1"/>
        </w:rPr>
        <w:t xml:space="preserve">Valorar</w:t>
      </w:r>
      <w:r>
        <w:rPr/>
        <w:t xml:space="preserve"> la importancia de la identificación del paciente, la prueba cruzada, el factor Rh y el cumplimiento de protocolos para prevenir eventos adversos.</w:t>
      </w:r>
    </w:p>
    <w:p/>
    <w:p>
      <w:pPr/>
      <w:r>
        <w:rPr>
          <w:color w:val="2b6cb0"/>
          <w:sz w:val="28"/>
          <w:szCs w:val="28"/>
          <w:b w:val="1"/>
          <w:bCs w:val="1"/>
        </w:rPr>
        <w:t xml:space="preserve">Recursos Necesarios</w:t>
      </w:r>
    </w:p>
    <w:p>
      <w:pPr>
        <w:numPr>
          <w:ilvl w:val="0"/>
          <w:numId w:val="2"/>
        </w:numPr>
      </w:pPr>
      <w:r>
        <w:rPr/>
        <w:t xml:space="preserve">Tarjetas plastificadas de grupos A, B, AB y O, antígenos y anticuerpos: un juego por cada grupo de 4 estudiantes.</w:t>
      </w:r>
    </w:p>
    <w:p>
      <w:pPr>
        <w:numPr>
          <w:ilvl w:val="0"/>
          <w:numId w:val="2"/>
        </w:numPr>
      </w:pPr>
      <w:r>
        <w:rPr/>
        <w:t xml:space="preserve">Tarjetas de pacientes y unidades de sangre simuladas, incluyendo grupo ABO y, en algunos casos, factor Rh.</w:t>
      </w:r>
    </w:p>
    <w:p>
      <w:pPr>
        <w:numPr>
          <w:ilvl w:val="0"/>
          <w:numId w:val="2"/>
        </w:numPr>
      </w:pPr>
      <w:r>
        <w:rPr/>
        <w:t xml:space="preserve">Placas o láminas de simulación, goteros vacíos, agua coloreada con colorante alimentario y tarjetas de resultados de aglutinación; no usar sangre real.</w:t>
      </w:r>
    </w:p>
    <w:p>
      <w:pPr>
        <w:numPr>
          <w:ilvl w:val="0"/>
          <w:numId w:val="2"/>
        </w:numPr>
      </w:pPr>
      <w:r>
        <w:rPr/>
        <w:t xml:space="preserve">Reactivos simulados rotulados “anti-A” y “anti-B”, elaborados con agua coloreada o fichas visuales.</w:t>
      </w:r>
    </w:p>
    <w:p>
      <w:pPr>
        <w:numPr>
          <w:ilvl w:val="0"/>
          <w:numId w:val="2"/>
        </w:numPr>
      </w:pPr>
      <w:r>
        <w:rPr/>
        <w:t xml:space="preserve">Tabla grande de compatibilidad ABO para glóbulos rojos y tarjetas de consulta.</w:t>
      </w:r>
    </w:p>
    <w:p>
      <w:pPr>
        <w:numPr>
          <w:ilvl w:val="0"/>
          <w:numId w:val="2"/>
        </w:numPr>
      </w:pPr>
      <w:r>
        <w:rPr/>
        <w:t xml:space="preserve">Guantes desechables para reforzar hábitos de bioseguridad, gafas de protección y papel absorbente.</w:t>
      </w:r>
    </w:p>
    <w:p>
      <w:pPr>
        <w:numPr>
          <w:ilvl w:val="0"/>
          <w:numId w:val="2"/>
        </w:numPr>
      </w:pPr>
      <w:r>
        <w:rPr/>
        <w:t xml:space="preserve">Proyector, computador y video educativo de 5 a 8 minutos sobre transfusión segura.</w:t>
      </w:r>
    </w:p>
    <w:p>
      <w:pPr>
        <w:numPr>
          <w:ilvl w:val="0"/>
          <w:numId w:val="2"/>
        </w:numPr>
      </w:pPr>
      <w:r>
        <w:rPr/>
        <w:t xml:space="preserve">Presentación digital elaborada en PowerPoint, Canva o Google Slides.</w:t>
      </w:r>
    </w:p>
    <w:p>
      <w:pPr>
        <w:numPr>
          <w:ilvl w:val="0"/>
          <w:numId w:val="2"/>
        </w:numPr>
      </w:pPr>
      <w:r>
        <w:rPr/>
        <w:t xml:space="preserve">Cuestionarios impresos, hojas de trabajo, marcadores, papelógrafos, cinta adhesiva y notas adhesivas.</w:t>
      </w:r>
    </w:p>
    <w:p>
      <w:pPr>
        <w:numPr>
          <w:ilvl w:val="0"/>
          <w:numId w:val="2"/>
        </w:numPr>
      </w:pPr>
      <w:r>
        <w:rPr/>
        <w:t xml:space="preserve">Rúbrica de desempeño, lista de cotejo, formatos de coevaluación y autoevaluación.</w:t>
      </w:r>
    </w:p>
    <w:p>
      <w:pPr>
        <w:numPr>
          <w:ilvl w:val="0"/>
          <w:numId w:val="2"/>
        </w:numPr>
      </w:pPr>
      <w:r>
        <w:rPr/>
        <w:t xml:space="preserve">Herramienta digital opcional: Padlet, Mentimeter, Kahoot o Google Forms.</w:t>
      </w:r>
    </w:p>
    <w:p/>
    <w:p>
      <w:pPr/>
      <w:r>
        <w:rPr>
          <w:color w:val="2b6cb0"/>
          <w:sz w:val="28"/>
          <w:szCs w:val="28"/>
          <w:b w:val="1"/>
          <w:bCs w:val="1"/>
        </w:rPr>
        <w:t xml:space="preserve">Requisitos Previos</w:t>
      </w:r>
    </w:p>
    <w:p>
      <w:pPr>
        <w:numPr>
          <w:ilvl w:val="0"/>
          <w:numId w:val="3"/>
        </w:numPr>
      </w:pPr>
      <w:r>
        <w:rPr/>
        <w:t xml:space="preserve">Reconocer la estructura básica de la sangre: plasma, eritrocitos, leucocitos y plaquetas.</w:t>
      </w:r>
    </w:p>
    <w:p>
      <w:pPr>
        <w:numPr>
          <w:ilvl w:val="0"/>
          <w:numId w:val="3"/>
        </w:numPr>
      </w:pPr>
      <w:r>
        <w:rPr/>
        <w:t xml:space="preserve">Comprender de manera general el concepto de célula, membrana celular y molécula de reconocimiento.</w:t>
      </w:r>
    </w:p>
    <w:p>
      <w:pPr>
        <w:numPr>
          <w:ilvl w:val="0"/>
          <w:numId w:val="3"/>
        </w:numPr>
      </w:pPr>
      <w:r>
        <w:rPr/>
        <w:t xml:space="preserve">Distinguir entre una sustancia que provoca una respuesta inmunitaria y un anticuerpo, al menos en un nivel introductorio.</w:t>
      </w:r>
    </w:p>
    <w:p>
      <w:pPr>
        <w:numPr>
          <w:ilvl w:val="0"/>
          <w:numId w:val="3"/>
        </w:numPr>
      </w:pPr>
      <w:r>
        <w:rPr/>
        <w:t xml:space="preserve">Aplicar normas básicas de bioseguridad, lavado de manos, uso de guantes y manejo de materiales.</w:t>
      </w:r>
    </w:p>
    <w:p>
      <w:pPr>
        <w:numPr>
          <w:ilvl w:val="0"/>
          <w:numId w:val="3"/>
        </w:numPr>
      </w:pPr>
      <w:r>
        <w:rPr/>
        <w:t xml:space="preserve">Leer tablas sencillas, registrar observaciones y comunicar conclusiones de forma oral y escrita.</w:t>
      </w:r>
    </w:p>
    <w:p>
      <w:pPr>
        <w:numPr>
          <w:ilvl w:val="0"/>
          <w:numId w:val="3"/>
        </w:numPr>
      </w:pPr>
      <w:r>
        <w:rPr/>
        <w:t xml:space="preserve">Conocer que una transfusión debe realizarse bajo indicación profesional y mediante protocolos institucionales.</w:t>
      </w:r>
    </w:p>
    <w:p/>
    <w:p>
      <w:pPr/>
      <w:r>
        <w:rPr>
          <w:color w:val="2b6cb0"/>
          <w:sz w:val="28"/>
          <w:szCs w:val="28"/>
          <w:b w:val="1"/>
          <w:bCs w:val="1"/>
        </w:rPr>
        <w:t xml:space="preserve">Actividades</w:t>
      </w:r>
    </w:p>
    <w:p>
      <w:pPr/>
      <w:r>
        <w:rPr/>
        <w:t xml:space="preserve">Sesión 1: Descubrir el sistema ABO y reconocer sus componentesFase de Inicio</w:t>
      </w:r>
    </w:p>
    <w:p>
      <w:pPr/>
      <w:r>
        <w:rPr>
          <w:b w:val="1"/>
          <w:bCs w:val="1"/>
        </w:rPr>
        <w:t xml:space="preserve">Tiempo estimado:</w:t>
      </w:r>
    </w:p>
    <w:p>
      <w:pPr/>
      <w:r>
        <w:rPr/>
        <w:t xml:space="preserve"> 20 minutos.</w:t>
      </w:r>
    </w:p>
    <w:p>
      <w:pPr/>
      <w:r>
        <w:rPr>
          <w:b w:val="1"/>
          <w:bCs w:val="1"/>
        </w:rPr>
        <w:t xml:space="preserve">Propósito de la sesión</w:t>
      </w:r>
    </w:p>
    <w:p>
      <w:pPr/>
      <w:r>
        <w:rPr/>
        <w:t xml:space="preserve">Presentar el problema de la compatibilidad sanguínea, activar conocimientos previos y construir una primera explicación sobre antígenos, anticuerpos y grupos ABO.</w:t>
      </w:r>
    </w:p>
    <w:p>
      <w:pPr/>
      <w:r>
        <w:rPr>
          <w:b w:val="1"/>
          <w:bCs w:val="1"/>
        </w:rPr>
        <w:t xml:space="preserve">Activación de conocimientos previos</w:t>
      </w:r>
    </w:p>
    <w:p>
      <w:pPr/>
      <w:r>
        <w:rPr>
          <w:b w:val="1"/>
          <w:bCs w:val="1"/>
        </w:rPr>
        <w:t xml:space="preserve">Docente:</w:t>
      </w:r>
      <w:r>
        <w:rPr/>
        <w:t xml:space="preserve"> proyecta la pregunta: “Un paciente necesita sangre de urgencia. ¿Se puede transfundir cualquier unidad disponible?”. Cada estudiante responde individualmente en una nota adhesiva y escribe una razón. Luego, en parejas, comparan respuestas y seleccionan una idea para compartir.</w:t>
      </w:r>
    </w:p>
    <w:p>
      <w:pPr/>
      <w:r>
        <w:rPr>
          <w:b w:val="1"/>
          <w:bCs w:val="1"/>
        </w:rPr>
        <w:t xml:space="preserve">Estudiantes:</w:t>
      </w:r>
      <w:r>
        <w:rPr/>
        <w:t xml:space="preserve"> expresan sus ideas sin consultar todavía la tabla de compatibilidad. El docente organiza las respuestas en tres columnas: “lo que sabemos”, “lo que suponemos” y “lo que necesitamos comprobar”.</w:t>
      </w:r>
    </w:p>
    <w:p>
      <w:pPr/>
      <w:r>
        <w:rPr>
          <w:b w:val="1"/>
          <w:bCs w:val="1"/>
        </w:rPr>
        <w:t xml:space="preserve">Motivación y contextualización</w:t>
      </w:r>
    </w:p>
    <w:p>
      <w:pPr/>
      <w:r>
        <w:rPr/>
        <w:t xml:space="preserve">El docente muestra una imagen de una sala de urgencias y plantea el reto: “Su equipo trabaja en el laboratorio de apoyo. Debe evitar que una unidad incompatible llegue al paciente”. Se presenta un video breve sobre donación y transfusión. Después se pregunta: “¿Qué error podría ocurrir si se confunde el grupo sanguíneo?”.</w:t>
      </w:r>
    </w:p>
    <w:p>
      <w:pPr/>
      <w:r>
        <w:rPr/>
        <w:t xml:space="preserve">Se relaciona el tema con bancos de sangre, urgencias, laboratorios clínicos, campañas de donación y atención prehospitalaria.</w:t>
      </w:r>
    </w:p>
    <w:p>
      <w:pPr/>
      <w:r>
        <w:rPr/>
        <w:t xml:space="preserve">Fase de Desarrollo</w:t>
      </w:r>
    </w:p>
    <w:p>
      <w:pPr/>
      <w:r>
        <w:rPr>
          <w:b w:val="1"/>
          <w:bCs w:val="1"/>
        </w:rPr>
        <w:t xml:space="preserve">Tiempo estimado:</w:t>
      </w:r>
    </w:p>
    <w:p>
      <w:pPr/>
      <w:r>
        <w:rPr/>
        <w:t xml:space="preserve"> 210 minutos.</w:t>
      </w:r>
    </w:p>
    <w:p>
      <w:pPr/>
      <w:r>
        <w:rPr>
          <w:b w:val="1"/>
          <w:bCs w:val="1"/>
        </w:rPr>
        <w:t xml:space="preserve">Presentación colaborativa del contenido</w:t>
      </w:r>
    </w:p>
    <w:p>
      <w:pPr/>
      <w:r>
        <w:rPr>
          <w:b w:val="1"/>
          <w:bCs w:val="1"/>
        </w:rPr>
        <w:t xml:space="preserve">Docente:</w:t>
      </w:r>
      <w:r>
        <w:rPr/>
        <w:t xml:space="preserve"> forma grupos de cuatro y asigna los roles de coordinador, lector, constructor y relator. Entrega tarjetas con los conceptos antígeno, anticuerpo, eritrocito y plasma. Explica únicamente la regla inicial: “Los antígenos A o B se encuentran en la superficie del eritrocito; los anticuerpos anti-A o anti-B se encuentran en el plasma”. Cada grupo debe construir una explicación con sus propias palabras.</w:t>
      </w:r>
    </w:p>
    <w:p>
      <w:pPr/>
      <w:r>
        <w:rPr>
          <w:b w:val="1"/>
          <w:bCs w:val="1"/>
        </w:rPr>
        <w:t xml:space="preserve">Actividad 1. Construcción del modelo ABO</w:t>
      </w:r>
    </w:p>
    <w:p>
      <w:pPr/>
      <w:r>
        <w:rPr>
          <w:b w:val="1"/>
          <w:bCs w:val="1"/>
        </w:rPr>
        <w:t xml:space="preserve">Objetivo:</w:t>
      </w:r>
      <w:r>
        <w:rPr/>
        <w:t xml:space="preserve"> Identificar antígenos y anticuerpos de cada grupo ABO.</w:t>
      </w:r>
    </w:p>
    <w:p>
      <w:pPr/>
      <w:r>
        <w:rPr>
          <w:b w:val="1"/>
          <w:bCs w:val="1"/>
        </w:rPr>
        <w:t xml:space="preserve">Tiempo:</w:t>
      </w:r>
      <w:r>
        <w:rPr/>
        <w:t xml:space="preserve"> 55 minutos.</w:t>
      </w:r>
    </w:p>
    <w:p>
      <w:pPr>
        <w:numPr>
          <w:ilvl w:val="0"/>
          <w:numId w:val="4"/>
        </w:numPr>
      </w:pPr>
      <w:r>
        <w:rPr>
          <w:b w:val="1"/>
          <w:bCs w:val="1"/>
        </w:rPr>
        <w:t xml:space="preserve">Docente:</w:t>
      </w:r>
      <w:r>
        <w:rPr/>
        <w:t xml:space="preserve"> entrega a cada grupo cuatro tarjetas de eritrocitos y tarjetas de antígenos y anticuerpos.</w:t>
      </w:r>
    </w:p>
    <w:p>
      <w:pPr>
        <w:numPr>
          <w:ilvl w:val="0"/>
          <w:numId w:val="4"/>
        </w:numPr>
      </w:pPr>
      <w:r>
        <w:rPr>
          <w:b w:val="1"/>
          <w:bCs w:val="1"/>
        </w:rPr>
        <w:t xml:space="preserve">Estudiantes:</w:t>
      </w:r>
      <w:r>
        <w:rPr/>
        <w:t xml:space="preserve"> completan una tabla con las columnas: grupo, antígeno en el eritrocito, anticuerpo en el plasma y explicación.</w:t>
      </w:r>
    </w:p>
    <w:p>
      <w:pPr>
        <w:numPr>
          <w:ilvl w:val="0"/>
          <w:numId w:val="4"/>
        </w:numPr>
      </w:pPr>
      <w:r>
        <w:rPr/>
        <w:t xml:space="preserve">Construyen los cuatro modelos: A, B, AB y O.</w:t>
      </w:r>
    </w:p>
    <w:p>
      <w:pPr>
        <w:numPr>
          <w:ilvl w:val="0"/>
          <w:numId w:val="4"/>
        </w:numPr>
      </w:pPr>
      <w:r>
        <w:rPr/>
        <w:t xml:space="preserve">Responden: “¿Por qué una persona del grupo A no debe recibir eritrocitos B?” y “¿Qué diferencia principal observan entre AB y O?”.</w:t>
      </w:r>
    </w:p>
    <w:p>
      <w:pPr>
        <w:numPr>
          <w:ilvl w:val="0"/>
          <w:numId w:val="4"/>
        </w:numPr>
      </w:pPr>
      <w:r>
        <w:rPr/>
        <w:t xml:space="preserve">El relator explica el modelo en dos minutos y el verificador revisa que no se hayan colocado anticuerpos contra los propios antígenos.</w:t>
      </w:r>
    </w:p>
    <w:p>
      <w:pPr/>
      <w:r>
        <w:rPr>
          <w:b w:val="1"/>
          <w:bCs w:val="1"/>
        </w:rPr>
        <w:t xml:space="preserve">Rol docente:</w:t>
      </w:r>
      <w:r>
        <w:rPr/>
        <w:t xml:space="preserve"> observa el uso de conceptos, pregunta “¿dónde está el antígeno?” y “¿qué ocurriría si el anticuerpo encuentra su antígeno?”, y corrige de inmediato la confusión entre grupo sanguíneo y factor Rh.</w:t>
      </w:r>
    </w:p>
    <w:p>
      <w:pPr/>
      <w:r>
        <w:rPr>
          <w:b w:val="1"/>
          <w:bCs w:val="1"/>
        </w:rPr>
        <w:t xml:space="preserve">Actividad 2. Estaciones de clasificación</w:t>
      </w:r>
    </w:p>
    <w:p>
      <w:pPr/>
      <w:r>
        <w:rPr>
          <w:b w:val="1"/>
          <w:bCs w:val="1"/>
        </w:rPr>
        <w:t xml:space="preserve">Objetivo:</w:t>
      </w:r>
      <w:r>
        <w:rPr/>
        <w:t xml:space="preserve"> Relacionar combinaciones de antígenos y anticuerpos con los grupos ABO.</w:t>
      </w:r>
    </w:p>
    <w:p>
      <w:pPr/>
      <w:r>
        <w:rPr>
          <w:b w:val="1"/>
          <w:bCs w:val="1"/>
        </w:rPr>
        <w:t xml:space="preserve">Tiempo:</w:t>
      </w:r>
      <w:r>
        <w:rPr/>
        <w:t xml:space="preserve"> 65 minutos.</w:t>
      </w:r>
    </w:p>
    <w:p>
      <w:pPr>
        <w:numPr>
          <w:ilvl w:val="0"/>
          <w:numId w:val="5"/>
        </w:numPr>
      </w:pPr>
      <w:r>
        <w:rPr/>
        <w:t xml:space="preserve">Se organizan cuatro estaciones con casos visuales: eritrocito con A, eritrocito con B, eritrocito con A y B, y eritrocito sin A ni B.</w:t>
      </w:r>
    </w:p>
    <w:p>
      <w:pPr>
        <w:numPr>
          <w:ilvl w:val="0"/>
          <w:numId w:val="5"/>
        </w:numPr>
      </w:pPr>
      <w:r>
        <w:rPr/>
        <w:t xml:space="preserve">Cada grupo rota cada 12 minutos aproximadamente y completa la pregunta de la estación.</w:t>
      </w:r>
    </w:p>
    <w:p>
      <w:pPr>
        <w:numPr>
          <w:ilvl w:val="0"/>
          <w:numId w:val="5"/>
        </w:numPr>
      </w:pPr>
      <w:r>
        <w:rPr/>
        <w:t xml:space="preserve">En cada estación responden: “¿Qué anticuerpos esperaría encontrar en el plasma?” y “¿Cuál sería el grupo ABO?”.</w:t>
      </w:r>
    </w:p>
    <w:p>
      <w:pPr>
        <w:numPr>
          <w:ilvl w:val="0"/>
          <w:numId w:val="5"/>
        </w:numPr>
      </w:pPr>
      <w:r>
        <w:rPr/>
        <w:t xml:space="preserve">Al finalizar, comparan respuestas con otro grupo mediante la técnica “dos aciertos y una corrección”.</w:t>
      </w:r>
    </w:p>
    <w:p>
      <w:pPr/>
      <w:r>
        <w:rPr>
          <w:b w:val="1"/>
          <w:bCs w:val="1"/>
        </w:rPr>
        <w:t xml:space="preserve">Producto:</w:t>
      </w:r>
      <w:r>
        <w:rPr/>
        <w:t xml:space="preserve"> hoja de estaciones completa y una explicación oral de un caso.</w:t>
      </w:r>
    </w:p>
    <w:p>
      <w:pPr/>
      <w:r>
        <w:rPr>
          <w:b w:val="1"/>
          <w:bCs w:val="1"/>
        </w:rPr>
        <w:t xml:space="preserve">Rol docente:</w:t>
      </w:r>
      <w:r>
        <w:rPr/>
        <w:t xml:space="preserve"> verifica que los estudiantes justifiquen, no solo memoricen, y pregunta “¿qué evidencia de la tarjeta respalda su clasificación?”.</w:t>
      </w:r>
    </w:p>
    <w:p>
      <w:pPr/>
      <w:r>
        <w:rPr>
          <w:b w:val="1"/>
          <w:bCs w:val="1"/>
        </w:rPr>
        <w:t xml:space="preserve">Actividad 3. Simulación visual de aglutinación</w:t>
      </w:r>
    </w:p>
    <w:p>
      <w:pPr/>
      <w:r>
        <w:rPr>
          <w:b w:val="1"/>
          <w:bCs w:val="1"/>
        </w:rPr>
        <w:t xml:space="preserve">Objetivo:</w:t>
      </w:r>
      <w:r>
        <w:rPr/>
        <w:t xml:space="preserve"> Interpretar resultados simulados de tipificación ABO.</w:t>
      </w:r>
    </w:p>
    <w:p>
      <w:pPr/>
      <w:r>
        <w:rPr>
          <w:b w:val="1"/>
          <w:bCs w:val="1"/>
        </w:rPr>
        <w:t xml:space="preserve">Tiempo:</w:t>
      </w:r>
      <w:r>
        <w:rPr/>
        <w:t xml:space="preserve"> 70 minutos.</w:t>
      </w:r>
    </w:p>
    <w:p>
      <w:pPr>
        <w:numPr>
          <w:ilvl w:val="0"/>
          <w:numId w:val="6"/>
        </w:numPr>
      </w:pPr>
      <w:r>
        <w:rPr>
          <w:b w:val="1"/>
          <w:bCs w:val="1"/>
        </w:rPr>
        <w:t xml:space="preserve">Docente:</w:t>
      </w:r>
      <w:r>
        <w:rPr/>
        <w:t xml:space="preserve"> demuestra con agua coloreada cómo se registrará una muestra “aglutinada” mediante grumos de papel o fichas agrupadas, y una muestra “no aglutinada” mediante fichas separadas.</w:t>
      </w:r>
    </w:p>
    <w:p>
      <w:pPr>
        <w:numPr>
          <w:ilvl w:val="0"/>
          <w:numId w:val="6"/>
        </w:numPr>
      </w:pPr>
      <w:r>
        <w:rPr/>
        <w:t xml:space="preserve">Cada grupo recibe seis tarjetas de resultados anti-A y anti-B.</w:t>
      </w:r>
    </w:p>
    <w:p>
      <w:pPr>
        <w:numPr>
          <w:ilvl w:val="0"/>
          <w:numId w:val="6"/>
        </w:numPr>
      </w:pPr>
      <w:r>
        <w:rPr/>
        <w:t xml:space="preserve">Los estudiantes registran “aglutinación” o “sin aglutinación”, determinan el grupo ABO y escriben la regla utilizada.</w:t>
      </w:r>
    </w:p>
    <w:p>
      <w:pPr>
        <w:numPr>
          <w:ilvl w:val="0"/>
          <w:numId w:val="6"/>
        </w:numPr>
      </w:pPr>
      <w:r>
        <w:rPr/>
        <w:t xml:space="preserve">Comparan su resultado con una tarjeta de control y corrigen los errores con tinta de otro color.</w:t>
      </w:r>
    </w:p>
    <w:p>
      <w:pPr>
        <w:numPr>
          <w:ilvl w:val="0"/>
          <w:numId w:val="6"/>
        </w:numPr>
      </w:pPr>
      <w:r>
        <w:rPr/>
        <w:t xml:space="preserve">Responden: “¿Qué significa que aglutine con anti-A?” y “¿Qué resultado esperaría para un grupo O?”.</w:t>
      </w:r>
    </w:p>
    <w:p>
      <w:pPr/>
      <w:r>
        <w:rPr>
          <w:b w:val="1"/>
          <w:bCs w:val="1"/>
        </w:rPr>
        <w:t xml:space="preserve">Producto:</w:t>
      </w:r>
      <w:r>
        <w:rPr/>
        <w:t xml:space="preserve"> registro de tipificación de seis casos.</w:t>
      </w:r>
    </w:p>
    <w:p>
      <w:pPr/>
      <w:r>
        <w:rPr>
          <w:b w:val="1"/>
          <w:bCs w:val="1"/>
        </w:rPr>
        <w:t xml:space="preserve">Diferenciación:</w:t>
      </w:r>
      <w:r>
        <w:rPr/>
        <w:t xml:space="preserve"> quienes necesiten apoyo reciben una tabla parcialmente completada y un diagrama de colores; quienes terminen antes crean dos casos nuevos y los intercambian con otro grupo para resolverlos.</w:t>
      </w:r>
    </w:p>
    <w:p>
      <w:pPr/>
      <w:r>
        <w:rPr>
          <w:b w:val="1"/>
          <w:bCs w:val="1"/>
        </w:rPr>
        <w:t xml:space="preserve">Transición:</w:t>
      </w:r>
      <w:r>
        <w:rPr/>
        <w:t xml:space="preserve"> el docente conecta la interpretación de la aglutinación con la pregunta: “Si ya conocemos el grupo del paciente, ¿cómo decidimos qué unidad puede recibir?”.</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Cada estudiante completa un ticket de salida con tres frases: “El grupo A tiene…”, “La aglutinación con anti-B significa…” y “Una razón por la que ABO es importante es…”. Dos estudiantes comparten sus respuestas.</w:t>
      </w:r>
    </w:p>
    <w:p>
      <w:pPr/>
      <w:r>
        <w:rPr>
          <w:b w:val="1"/>
          <w:bCs w:val="1"/>
        </w:rPr>
        <w:t xml:space="preserve">Reflexión metacognitiva</w:t>
      </w:r>
    </w:p>
    <w:p>
      <w:pPr>
        <w:numPr>
          <w:ilvl w:val="0"/>
          <w:numId w:val="7"/>
        </w:numPr>
      </w:pPr>
      <w:r>
        <w:rPr/>
        <w:t xml:space="preserve">¿Qué concepto puedo explicar ahora sin leer mis apuntes?</w:t>
      </w:r>
    </w:p>
    <w:p>
      <w:pPr>
        <w:numPr>
          <w:ilvl w:val="0"/>
          <w:numId w:val="7"/>
        </w:numPr>
      </w:pPr>
      <w:r>
        <w:rPr/>
        <w:t xml:space="preserve">¿Qué error cometí al interpretar una aglutinación y cómo lo corregí?</w:t>
      </w:r>
    </w:p>
    <w:p>
      <w:pPr>
        <w:numPr>
          <w:ilvl w:val="0"/>
          <w:numId w:val="7"/>
        </w:numPr>
      </w:pPr>
      <w:r>
        <w:rPr/>
        <w:t xml:space="preserve">¿Qué información necesito antes de decidir una transfusión?</w:t>
      </w:r>
    </w:p>
    <w:p>
      <w:pPr/>
      <w:r>
        <w:rPr>
          <w:b w:val="1"/>
          <w:bCs w:val="1"/>
        </w:rPr>
        <w:t xml:space="preserve">Retroalimentación, transferencia y tarea</w:t>
      </w:r>
    </w:p>
    <w:p>
      <w:pPr/>
      <w:r>
        <w:rPr>
          <w:b w:val="1"/>
          <w:bCs w:val="1"/>
        </w:rPr>
        <w:t xml:space="preserve">Docente:</w:t>
      </w:r>
      <w:r>
        <w:rPr/>
        <w:t xml:space="preserve"> recoge los tickets, aclara la confusión más frecuente y anticipa que la siguiente sesión se centrará en compatibilidad. Como tarea, cada estudiante elabora una tarjeta-resumen de los grupos A, B, AB y O con antígenos y anticuerpos.</w:t>
      </w:r>
    </w:p>
    <w:p>
      <w:pPr/>
      <w:r>
        <w:rPr/>
        <w:t xml:space="preserve">Sesión 2: Resolver la compatibilidad ABO en transfusionesFase de Inicio</w:t>
      </w:r>
    </w:p>
    <w:p>
      <w:pPr/>
      <w:r>
        <w:rPr>
          <w:b w:val="1"/>
          <w:bCs w:val="1"/>
        </w:rPr>
        <w:t xml:space="preserve">Tiempo estimado:</w:t>
      </w:r>
    </w:p>
    <w:p>
      <w:pPr/>
      <w:r>
        <w:rPr/>
        <w:t xml:space="preserve"> 20 minutos.</w:t>
      </w:r>
    </w:p>
    <w:p>
      <w:pPr/>
      <w:r>
        <w:rPr>
          <w:b w:val="1"/>
          <w:bCs w:val="1"/>
        </w:rPr>
        <w:t xml:space="preserve">Propósito de la sesión</w:t>
      </w:r>
    </w:p>
    <w:p>
      <w:pPr/>
      <w:r>
        <w:rPr/>
        <w:t xml:space="preserve">Recuperar los conceptos de la sesión anterior y aplicarlos para determinar qué concentrados de glóbulos rojos pueden recibir pacientes de los diferentes grupos ABO.</w:t>
      </w:r>
    </w:p>
    <w:p>
      <w:pPr/>
      <w:r>
        <w:rPr>
          <w:b w:val="1"/>
          <w:bCs w:val="1"/>
        </w:rPr>
        <w:t xml:space="preserve">Activación y conexión</w:t>
      </w:r>
    </w:p>
    <w:p>
      <w:pPr/>
      <w:r>
        <w:rPr>
          <w:b w:val="1"/>
          <w:bCs w:val="1"/>
        </w:rPr>
        <w:t xml:space="preserve">Docente:</w:t>
      </w:r>
      <w:r>
        <w:rPr/>
        <w:t xml:space="preserve"> presenta dos tarjetas: paciente A y unidad B. Pregunta: “¿Se puede realizar esta transfusión de glóbulos rojos? ¿Qué componente de la sangre provoca el problema?”. Los estudiantes responden primero de forma individual, luego justifican en su grupo usando las tarjetas de antígenos y anticuerpos.</w:t>
      </w:r>
    </w:p>
    <w:p>
      <w:pPr/>
      <w:r>
        <w:rPr>
          <w:b w:val="1"/>
          <w:bCs w:val="1"/>
        </w:rPr>
        <w:t xml:space="preserve">Motivación</w:t>
      </w:r>
    </w:p>
    <w:p>
      <w:pPr/>
      <w:r>
        <w:rPr/>
        <w:t xml:space="preserve">Se plantea el reto profesional: “Una ambulancia llega con cuatro unidades rotuladas A, B, AB y O y cuatro pacientes. El equipo debe ordenar las opciones sin cometer errores”. Se enfatiza que la compatibilidad no se decide por intuición ni por apariencia de la bolsa.</w:t>
      </w:r>
    </w:p>
    <w:p>
      <w:pPr/>
      <w:r>
        <w:rPr/>
        <w:t xml:space="preserve">Fase de Desarrollo</w:t>
      </w:r>
    </w:p>
    <w:p>
      <w:pPr/>
      <w:r>
        <w:rPr>
          <w:b w:val="1"/>
          <w:bCs w:val="1"/>
        </w:rPr>
        <w:t xml:space="preserve">Tiempo estimado:</w:t>
      </w:r>
    </w:p>
    <w:p>
      <w:pPr/>
      <w:r>
        <w:rPr/>
        <w:t xml:space="preserve"> 210 minutos.</w:t>
      </w:r>
    </w:p>
    <w:p>
      <w:pPr/>
      <w:r>
        <w:rPr>
          <w:b w:val="1"/>
          <w:bCs w:val="1"/>
        </w:rPr>
        <w:t xml:space="preserve">Presentación del contenido mediante rompecabezas colaborativo</w:t>
      </w:r>
    </w:p>
    <w:p>
      <w:pPr/>
      <w:r>
        <w:rPr/>
        <w:t xml:space="preserve">El docente entrega a cada integrante de un grupo una parte de la información: antígenos eritrocitarios, anticuerpos plasmáticos, regla de compatibilidad y advertencias de seguridad. Los estudiantes se reúnen temporalmente con quienes tienen la misma parte, la estudian y regresan a su equipo para enseñarla. El docente resume la regla: en una transfusión de concentrados de glóbulos rojos se debe evitar que los anticuerpos del receptor reaccionen contra los antígenos de los eritrocitos transfundidos.</w:t>
      </w:r>
    </w:p>
    <w:p>
      <w:pPr/>
      <w:r>
        <w:rPr>
          <w:b w:val="1"/>
          <w:bCs w:val="1"/>
        </w:rPr>
        <w:t xml:space="preserve">Actividad 1. Construcción de la matriz de compatibilidad</w:t>
      </w:r>
    </w:p>
    <w:p>
      <w:pPr/>
      <w:r>
        <w:rPr>
          <w:b w:val="1"/>
          <w:bCs w:val="1"/>
        </w:rPr>
        <w:t xml:space="preserve">Objetivo:</w:t>
      </w:r>
      <w:r>
        <w:rPr/>
        <w:t xml:space="preserve"> Determinar compatibilidad ABO básica para glóbulos rojos.</w:t>
      </w:r>
    </w:p>
    <w:p>
      <w:pPr/>
      <w:r>
        <w:rPr>
          <w:b w:val="1"/>
          <w:bCs w:val="1"/>
        </w:rPr>
        <w:t xml:space="preserve">Tiempo:</w:t>
      </w:r>
      <w:r>
        <w:rPr/>
        <w:t xml:space="preserve"> 60 minutos.</w:t>
      </w:r>
    </w:p>
    <w:p>
      <w:pPr>
        <w:numPr>
          <w:ilvl w:val="0"/>
          <w:numId w:val="8"/>
        </w:numPr>
      </w:pPr>
      <w:r>
        <w:rPr/>
        <w:t xml:space="preserve">Cada grupo recibe una matriz con receptor en las filas y donante en las columnas.</w:t>
      </w:r>
    </w:p>
    <w:p>
      <w:pPr>
        <w:numPr>
          <w:ilvl w:val="0"/>
          <w:numId w:val="8"/>
        </w:numPr>
      </w:pPr>
      <w:r>
        <w:rPr/>
        <w:t xml:space="preserve">Los estudiantes colocan tarjetas verdes cuando la combinación es compatible y rojas cuando es incompatible.</w:t>
      </w:r>
    </w:p>
    <w:p>
      <w:pPr>
        <w:numPr>
          <w:ilvl w:val="0"/>
          <w:numId w:val="8"/>
        </w:numPr>
      </w:pPr>
      <w:r>
        <w:rPr/>
        <w:t xml:space="preserve">Completan la matriz para A, B, AB y O.</w:t>
      </w:r>
    </w:p>
    <w:p>
      <w:pPr>
        <w:numPr>
          <w:ilvl w:val="0"/>
          <w:numId w:val="8"/>
        </w:numPr>
      </w:pPr>
      <w:r>
        <w:rPr/>
        <w:t xml:space="preserve">Escriben una justificación para cada fila utilizando la frase: “El receptor ___ puede recibir ___ porque…”.</w:t>
      </w:r>
    </w:p>
    <w:p>
      <w:pPr>
        <w:numPr>
          <w:ilvl w:val="0"/>
          <w:numId w:val="8"/>
        </w:numPr>
      </w:pPr>
      <w:r>
        <w:rPr/>
        <w:t xml:space="preserve">Comparan la matriz con otro equipo y explican una diferencia encontrada.</w:t>
      </w:r>
    </w:p>
    <w:p>
      <w:pPr/>
      <w:r>
        <w:rPr>
          <w:b w:val="1"/>
          <w:bCs w:val="1"/>
        </w:rPr>
        <w:t xml:space="preserve">Docente:</w:t>
      </w:r>
      <w:r>
        <w:rPr/>
        <w:t xml:space="preserve"> pregunta “¿qué anticuerpo del receptor podría reaccionar?” y “¿qué antígeno presenta la unidad?”. No permite que se use únicamente la regla “O universal” sin aclarar que se refiere a glóbulos rojos y que deben considerarse Rh y protocolos.</w:t>
      </w:r>
    </w:p>
    <w:p>
      <w:pPr/>
      <w:r>
        <w:rPr>
          <w:b w:val="1"/>
          <w:bCs w:val="1"/>
        </w:rPr>
        <w:t xml:space="preserve">Actividad 2. Carrera razonada de compatibilidad</w:t>
      </w:r>
    </w:p>
    <w:p>
      <w:pPr/>
      <w:r>
        <w:rPr>
          <w:b w:val="1"/>
          <w:bCs w:val="1"/>
        </w:rPr>
        <w:t xml:space="preserve">Objetivo:</w:t>
      </w:r>
      <w:r>
        <w:rPr/>
        <w:t xml:space="preserve"> Aplicar la matriz de compatibilidad en situaciones técnicas.</w:t>
      </w:r>
    </w:p>
    <w:p>
      <w:pPr/>
      <w:r>
        <w:rPr>
          <w:b w:val="1"/>
          <w:bCs w:val="1"/>
        </w:rPr>
        <w:t xml:space="preserve">Tiempo:</w:t>
      </w:r>
      <w:r>
        <w:rPr/>
        <w:t xml:space="preserve"> 70 minutos.</w:t>
      </w:r>
    </w:p>
    <w:p>
      <w:pPr>
        <w:numPr>
          <w:ilvl w:val="0"/>
          <w:numId w:val="9"/>
        </w:numPr>
      </w:pPr>
      <w:r>
        <w:rPr/>
        <w:t xml:space="preserve">El docente entrega diez tarjetas de casos: “Paciente B, unidad A”; “Paciente AB, unidad A”; “Paciente O, unidad O”; entre otros.</w:t>
      </w:r>
    </w:p>
    <w:p>
      <w:pPr>
        <w:numPr>
          <w:ilvl w:val="0"/>
          <w:numId w:val="9"/>
        </w:numPr>
      </w:pPr>
      <w:r>
        <w:rPr/>
        <w:t xml:space="preserve">El coordinador lee el caso, el analista consulta la matriz, el verificador revisa la justificación y el relator registra la respuesta.</w:t>
      </w:r>
    </w:p>
    <w:p>
      <w:pPr>
        <w:numPr>
          <w:ilvl w:val="0"/>
          <w:numId w:val="9"/>
        </w:numPr>
      </w:pPr>
      <w:r>
        <w:rPr/>
        <w:t xml:space="preserve">El grupo debe responder “compatible” o “incompatible”, identificar la razón y proponer una alternativa compatible.</w:t>
      </w:r>
    </w:p>
    <w:p>
      <w:pPr>
        <w:numPr>
          <w:ilvl w:val="0"/>
          <w:numId w:val="9"/>
        </w:numPr>
      </w:pPr>
      <w:r>
        <w:rPr/>
        <w:t xml:space="preserve">Gana el equipo que logre más respuestas correctas y justificadas, no el que termine primero.</w:t>
      </w:r>
    </w:p>
    <w:p>
      <w:pPr/>
      <w:r>
        <w:rPr>
          <w:b w:val="1"/>
          <w:bCs w:val="1"/>
        </w:rPr>
        <w:t xml:space="preserve">Preguntas guía:</w:t>
      </w:r>
      <w:r>
        <w:rPr/>
        <w:t xml:space="preserve"> “¿Qué componente estamos transfundiendo?”, “¿La decisión cambiaría si fuera plasma?” y “¿Qué dato falta para una decisión clínica real?”.</w:t>
      </w:r>
    </w:p>
    <w:p>
      <w:pPr/>
      <w:r>
        <w:rPr>
          <w:b w:val="1"/>
          <w:bCs w:val="1"/>
        </w:rPr>
        <w:t xml:space="preserve">Actividad 3. Compatibilidad, seguridad y límites de la regla</w:t>
      </w:r>
    </w:p>
    <w:p>
      <w:pPr/>
      <w:r>
        <w:rPr>
          <w:b w:val="1"/>
          <w:bCs w:val="1"/>
        </w:rPr>
        <w:t xml:space="preserve">Objetivos:</w:t>
      </w:r>
      <w:r>
        <w:rPr/>
        <w:t xml:space="preserve"> Analizar la importancia de la compatibilidad y valorar los controles de seguridad.</w:t>
      </w:r>
    </w:p>
    <w:p>
      <w:pPr/>
      <w:r>
        <w:rPr>
          <w:b w:val="1"/>
          <w:bCs w:val="1"/>
        </w:rPr>
        <w:t xml:space="preserve">Tiempo:</w:t>
      </w:r>
      <w:r>
        <w:rPr/>
        <w:t xml:space="preserve"> 80 minutos.</w:t>
      </w:r>
    </w:p>
    <w:p>
      <w:pPr>
        <w:numPr>
          <w:ilvl w:val="0"/>
          <w:numId w:val="10"/>
        </w:numPr>
      </w:pPr>
      <w:r>
        <w:rPr/>
        <w:t xml:space="preserve">Cada grupo recibe un caso: paciente sin identificación completa, muestra rotulada con error, unidad ABO compatible pero Rh desconocido o ausencia de prueba cruzada.</w:t>
      </w:r>
    </w:p>
    <w:p>
      <w:pPr>
        <w:numPr>
          <w:ilvl w:val="0"/>
          <w:numId w:val="10"/>
        </w:numPr>
      </w:pPr>
      <w:r>
        <w:rPr/>
        <w:t xml:space="preserve">Identifican el riesgo, ordenan las acciones correctas y redactan una recomendación técnica.</w:t>
      </w:r>
    </w:p>
    <w:p>
      <w:pPr>
        <w:numPr>
          <w:ilvl w:val="0"/>
          <w:numId w:val="10"/>
        </w:numPr>
      </w:pPr>
      <w:r>
        <w:rPr/>
        <w:t xml:space="preserve">Preparan un mini cartel titulado “Antes de transfundir, verificar”.</w:t>
      </w:r>
    </w:p>
    <w:p>
      <w:pPr>
        <w:numPr>
          <w:ilvl w:val="0"/>
          <w:numId w:val="10"/>
        </w:numPr>
      </w:pPr>
      <w:r>
        <w:rPr/>
        <w:t xml:space="preserve">Incluyen como mínimo: identidad del paciente, grupo ABO, factor Rh, compatibilidad, prueba cruzada, caducidad, integridad de la unidad y protocolo institucional.</w:t>
      </w:r>
    </w:p>
    <w:p>
      <w:pPr>
        <w:numPr>
          <w:ilvl w:val="0"/>
          <w:numId w:val="10"/>
        </w:numPr>
      </w:pPr>
      <w:r>
        <w:rPr/>
        <w:t xml:space="preserve">Presentan el cartel en tres minutos y reciben una pregunta de otro equipo.</w:t>
      </w:r>
    </w:p>
    <w:p>
      <w:pPr/>
      <w:r>
        <w:rPr>
          <w:b w:val="1"/>
          <w:bCs w:val="1"/>
        </w:rPr>
        <w:t xml:space="preserve">Diferenciación:</w:t>
      </w:r>
      <w:r>
        <w:rPr/>
        <w:t xml:space="preserve"> se ofrece una secuencia visual de pasos a quienes requieren apoyo; quienes terminan antes comparan la compatibilidad de glóbulos rojos con una situación introductoria de plasma y explican por qué las reglas pueden invertirse.</w:t>
      </w:r>
    </w:p>
    <w:p>
      <w:pPr/>
      <w:r>
        <w:rPr>
          <w:b w:val="1"/>
          <w:bCs w:val="1"/>
        </w:rPr>
        <w:t xml:space="preserve">Transición:</w:t>
      </w:r>
      <w:r>
        <w:rPr/>
        <w:t xml:space="preserve"> el docente indica que en la próxima sesión los estudiantes asumirán el rol de un equipo de laboratorio que debe investigar, decidir y comunicar un caso completo.</w:t>
      </w:r>
    </w:p>
    <w:p>
      <w:pPr/>
      <w:r>
        <w:rPr/>
        <w:t xml:space="preserve">Fase de Cierre</w:t>
      </w:r>
    </w:p>
    <w:p>
      <w:pPr/>
      <w:r>
        <w:rPr>
          <w:b w:val="1"/>
          <w:bCs w:val="1"/>
        </w:rPr>
        <w:t xml:space="preserve">Tiempo estimado:</w:t>
      </w:r>
    </w:p>
    <w:p>
      <w:pPr/>
      <w:r>
        <w:rPr/>
        <w:t xml:space="preserve"> 10 minutos.</w:t>
      </w:r>
    </w:p>
    <w:p>
      <w:pPr/>
      <w:r>
        <w:rPr>
          <w:b w:val="1"/>
          <w:bCs w:val="1"/>
        </w:rPr>
        <w:t xml:space="preserve">Síntesis y evaluación rápida</w:t>
      </w:r>
    </w:p>
    <w:p>
      <w:pPr/>
      <w:r>
        <w:rPr/>
        <w:t xml:space="preserve">Los grupos completan en una hoja la frase: “Para transfundir glóbulos rojos, primero observo el grupo del receptor, después verifico…, y nunca olvido…”. El docente revisa tres respuestas al azar y corrige públicamente solo los errores conceptuales, sin señalar a los estudiantes.</w:t>
      </w:r>
    </w:p>
    <w:p>
      <w:pPr/>
      <w:r>
        <w:rPr>
          <w:b w:val="1"/>
          <w:bCs w:val="1"/>
        </w:rPr>
        <w:t xml:space="preserve">Reflexión metacognitiva</w:t>
      </w:r>
    </w:p>
    <w:p>
      <w:pPr>
        <w:numPr>
          <w:ilvl w:val="0"/>
          <w:numId w:val="11"/>
        </w:numPr>
      </w:pPr>
      <w:r>
        <w:rPr/>
        <w:t xml:space="preserve">¿Puedo justificar una compatibilidad usando antígenos y anticuerpos?</w:t>
      </w:r>
    </w:p>
    <w:p>
      <w:pPr>
        <w:numPr>
          <w:ilvl w:val="0"/>
          <w:numId w:val="11"/>
        </w:numPr>
      </w:pPr>
      <w:r>
        <w:rPr/>
        <w:t xml:space="preserve">¿Qué diferencia existe entre memorizar una tabla y explicar por qué funciona?</w:t>
      </w:r>
    </w:p>
    <w:p>
      <w:pPr>
        <w:numPr>
          <w:ilvl w:val="0"/>
          <w:numId w:val="11"/>
        </w:numPr>
      </w:pPr>
      <w:r>
        <w:rPr/>
        <w:t xml:space="preserve">¿Qué control de seguridad considero más importante y por qué?</w:t>
      </w:r>
    </w:p>
    <w:p>
      <w:pPr/>
      <w:r>
        <w:rPr>
          <w:b w:val="1"/>
          <w:bCs w:val="1"/>
        </w:rPr>
        <w:t xml:space="preserve">Transferencia y tarea</w:t>
      </w:r>
    </w:p>
    <w:p>
      <w:pPr/>
      <w:r>
        <w:rPr/>
        <w:t xml:space="preserve">Como tarea, cada estudiante resuelve cuatro casos de compatibilidad y escribe una advertencia sobre el factor Rh. Se anticipa que la siguiente sesión integrará tipificación, compatibilidad y comunicación de decisiones.</w:t>
      </w:r>
    </w:p>
    <w:p>
      <w:pPr/>
      <w:r>
        <w:rPr/>
        <w:t xml:space="preserve">Sesión 3: Integrar el conocimiento en un caso de transfusión seguraFase de Inicio</w:t>
      </w:r>
    </w:p>
    <w:p>
      <w:pPr/>
      <w:r>
        <w:rPr>
          <w:b w:val="1"/>
          <w:bCs w:val="1"/>
        </w:rPr>
        <w:t xml:space="preserve">Tiempo estimado:</w:t>
      </w:r>
    </w:p>
    <w:p>
      <w:pPr/>
      <w:r>
        <w:rPr/>
        <w:t xml:space="preserve"> 20 minutos.</w:t>
      </w:r>
    </w:p>
    <w:p>
      <w:pPr/>
      <w:r>
        <w:rPr>
          <w:b w:val="1"/>
          <w:bCs w:val="1"/>
        </w:rPr>
        <w:t xml:space="preserve">Propósito de la sesión</w:t>
      </w:r>
    </w:p>
    <w:p>
      <w:pPr/>
      <w:r>
        <w:rPr/>
        <w:t xml:space="preserve">Integrar lo aprendido sobre identificación ABO, aglutinación, compatibilidad e importancia de los controles antes de una transfusión.</w:t>
      </w:r>
    </w:p>
    <w:p>
      <w:pPr/>
      <w:r>
        <w:rPr>
          <w:b w:val="1"/>
          <w:bCs w:val="1"/>
        </w:rPr>
        <w:t xml:space="preserve">Activación</w:t>
      </w:r>
    </w:p>
    <w:p>
      <w:pPr/>
      <w:r>
        <w:rPr>
          <w:b w:val="1"/>
          <w:bCs w:val="1"/>
        </w:rPr>
        <w:t xml:space="preserve">Docente:</w:t>
      </w:r>
      <w:r>
        <w:rPr/>
        <w:t xml:space="preserve"> aplica un cuestionario diagnóstico de cinco preguntas proyectadas: “¿Qué antígeno tiene el grupo AB?”, “¿Qué anticuerpos tiene el grupo O?”, “¿Qué indica anti-A positivo?”, “¿Es suficiente conocer ABO?” y “¿Qué se debe verificar antes de transfundir?”. Los estudiantes responden individualmente y luego comparan con su equipo.</w:t>
      </w:r>
    </w:p>
    <w:p>
      <w:pPr/>
      <w:r>
        <w:rPr>
          <w:b w:val="1"/>
          <w:bCs w:val="1"/>
        </w:rPr>
        <w:t xml:space="preserve">Motivación y contextualización</w:t>
      </w:r>
    </w:p>
    <w:p>
      <w:pPr/>
      <w:r>
        <w:rPr/>
        <w:t xml:space="preserve">Se presenta el caso: “En una unidad de urgencias se solicita sangre para un paciente que perdió volumen. El equipo técnico debe revisar los datos, interpretar una prueba simulada, seleccionar una unidad compatible y comunicar la decisión”. Se destaca que un error de identificación o compatibilidad puede causar una reacción hemolítica grave.</w:t>
      </w:r>
    </w:p>
    <w:p>
      <w:pPr/>
      <w:r>
        <w:rPr/>
        <w:t xml:space="preserve">Fase de Desarrollo</w:t>
      </w:r>
    </w:p>
    <w:p>
      <w:pPr/>
      <w:r>
        <w:rPr>
          <w:b w:val="1"/>
          <w:bCs w:val="1"/>
        </w:rPr>
        <w:t xml:space="preserve">Tiempo estimado:</w:t>
      </w:r>
    </w:p>
    <w:p>
      <w:pPr/>
      <w:r>
        <w:rPr/>
        <w:t xml:space="preserve"> 210 minutos.</w:t>
      </w:r>
    </w:p>
    <w:p>
      <w:pPr/>
      <w:r>
        <w:rPr>
          <w:b w:val="1"/>
          <w:bCs w:val="1"/>
        </w:rPr>
        <w:t xml:space="preserve">Actividad 1. Investigación del caso por roles</w:t>
      </w:r>
    </w:p>
    <w:p>
      <w:pPr/>
      <w:r>
        <w:rPr>
          <w:b w:val="1"/>
          <w:bCs w:val="1"/>
        </w:rPr>
        <w:t xml:space="preserve">Objetivos:</w:t>
      </w:r>
      <w:r>
        <w:rPr/>
        <w:t xml:space="preserve"> Interpretar resultados ABO y analizar información clínica básica.</w:t>
      </w:r>
    </w:p>
    <w:p>
      <w:pPr/>
      <w:r>
        <w:rPr>
          <w:b w:val="1"/>
          <w:bCs w:val="1"/>
        </w:rPr>
        <w:t xml:space="preserve">Tiempo:</w:t>
      </w:r>
      <w:r>
        <w:rPr/>
        <w:t xml:space="preserve"> 65 minutos.</w:t>
      </w:r>
    </w:p>
    <w:p>
      <w:pPr>
        <w:numPr>
          <w:ilvl w:val="0"/>
          <w:numId w:val="12"/>
        </w:numPr>
      </w:pPr>
      <w:r>
        <w:rPr/>
        <w:t xml:space="preserve">Se forman equipos de cuatro y se asignan los roles de técnico de tipificación, responsable de seguridad, analista de compatibilidad y comunicador.</w:t>
      </w:r>
    </w:p>
    <w:p>
      <w:pPr>
        <w:numPr>
          <w:ilvl w:val="0"/>
          <w:numId w:val="12"/>
        </w:numPr>
      </w:pPr>
      <w:r>
        <w:rPr/>
        <w:t xml:space="preserve">Cada equipo recibe un expediente simulado con identificación del paciente, resultados anti-A y anti-B, factor Rh, unidades disponibles y una orden transfusional.</w:t>
      </w:r>
    </w:p>
    <w:p>
      <w:pPr>
        <w:numPr>
          <w:ilvl w:val="0"/>
          <w:numId w:val="12"/>
        </w:numPr>
      </w:pPr>
      <w:r>
        <w:rPr/>
        <w:t xml:space="preserve">El técnico registra los resultados; el analista determina el grupo; el responsable de seguridad revisa identificación, rotulado y datos faltantes.</w:t>
      </w:r>
    </w:p>
    <w:p>
      <w:pPr>
        <w:numPr>
          <w:ilvl w:val="0"/>
          <w:numId w:val="12"/>
        </w:numPr>
      </w:pPr>
      <w:r>
        <w:rPr/>
        <w:t xml:space="preserve">El equipo completa la frase: “El paciente es ___; la unidad seleccionada es ___; es compatible/incompatible porque ___”.</w:t>
      </w:r>
    </w:p>
    <w:p>
      <w:pPr>
        <w:numPr>
          <w:ilvl w:val="0"/>
          <w:numId w:val="12"/>
        </w:numPr>
      </w:pPr>
      <w:r>
        <w:rPr/>
        <w:t xml:space="preserve">Si falta un dato crítico, deben escribir “no liberar hasta verificar” y explicar por qué.</w:t>
      </w:r>
    </w:p>
    <w:p>
      <w:pPr/>
      <w:r>
        <w:rPr>
          <w:b w:val="1"/>
          <w:bCs w:val="1"/>
        </w:rPr>
        <w:t xml:space="preserve">Docente:</w:t>
      </w:r>
      <w:r>
        <w:rPr/>
        <w:t xml:space="preserve"> observa la distribución de responsabilidades y pregunta “¿qué dato proviene de la prueba y cuál es una suposición?”.</w:t>
      </w:r>
    </w:p>
    <w:p>
      <w:pPr/>
      <w:r>
        <w:rPr>
          <w:b w:val="1"/>
          <w:bCs w:val="1"/>
        </w:rPr>
        <w:t xml:space="preserve">Actividad 2. Simulación de comité de transfusión</w:t>
      </w:r>
    </w:p>
    <w:p>
      <w:pPr/>
      <w:r>
        <w:rPr>
          <w:b w:val="1"/>
          <w:bCs w:val="1"/>
        </w:rPr>
        <w:t xml:space="preserve">Objetivos:</w:t>
      </w:r>
      <w:r>
        <w:rPr/>
        <w:t xml:space="preserve"> Determinar compatibilidad y justificar decisiones técnicas.</w:t>
      </w:r>
    </w:p>
    <w:p>
      <w:pPr/>
      <w:r>
        <w:rPr>
          <w:b w:val="1"/>
          <w:bCs w:val="1"/>
        </w:rPr>
        <w:t xml:space="preserve">Tiempo:</w:t>
      </w:r>
      <w:r>
        <w:rPr/>
        <w:t xml:space="preserve"> 75 minutos.</w:t>
      </w:r>
    </w:p>
    <w:p>
      <w:pPr>
        <w:numPr>
          <w:ilvl w:val="0"/>
          <w:numId w:val="13"/>
        </w:numPr>
      </w:pPr>
      <w:r>
        <w:rPr/>
        <w:t xml:space="preserve">Cada equipo recibe tres escenarios: paciente O con unidad A, paciente AB con unidad B y paciente A con unidad O; uno de los casos incluye Rh no comprobado.</w:t>
      </w:r>
    </w:p>
    <w:p>
      <w:pPr>
        <w:numPr>
          <w:ilvl w:val="0"/>
          <w:numId w:val="13"/>
        </w:numPr>
      </w:pPr>
      <w:r>
        <w:rPr/>
        <w:t xml:space="preserve">Analizan cada escenario durante diez minutos y completan una hoja de decisión.</w:t>
      </w:r>
    </w:p>
    <w:p>
      <w:pPr>
        <w:numPr>
          <w:ilvl w:val="0"/>
          <w:numId w:val="13"/>
        </w:numPr>
      </w:pPr>
      <w:r>
        <w:rPr/>
        <w:t xml:space="preserve">En una plenaria, el comunicador presenta una decisión y otro equipo actúa como comité revisor.</w:t>
      </w:r>
    </w:p>
    <w:p>
      <w:pPr>
        <w:numPr>
          <w:ilvl w:val="0"/>
          <w:numId w:val="13"/>
        </w:numPr>
      </w:pPr>
      <w:r>
        <w:rPr/>
        <w:t xml:space="preserve">El comité formula las preguntas exactas: “¿Qué antígeno está involucrado?”, “¿Qué anticuerpo puede reaccionar?”, “¿Qué control falta?” y “¿Cuál es la alternativa segura?”.</w:t>
      </w:r>
    </w:p>
    <w:p>
      <w:pPr>
        <w:numPr>
          <w:ilvl w:val="0"/>
          <w:numId w:val="13"/>
        </w:numPr>
      </w:pPr>
      <w:r>
        <w:rPr/>
        <w:t xml:space="preserve">El grupo debe aceptar, modificar o rechazar su decisión con una justificación técnica.</w:t>
      </w:r>
    </w:p>
    <w:p>
      <w:pPr/>
      <w:r>
        <w:rPr>
          <w:b w:val="1"/>
          <w:bCs w:val="1"/>
        </w:rPr>
        <w:t xml:space="preserve">Producto:</w:t>
      </w:r>
      <w:r>
        <w:rPr/>
        <w:t xml:space="preserve"> hoja de decisiones y defensa oral breve.</w:t>
      </w:r>
    </w:p>
    <w:p>
      <w:pPr/>
      <w:r>
        <w:rPr>
          <w:b w:val="1"/>
          <w:bCs w:val="1"/>
        </w:rPr>
        <w:t xml:space="preserve">Actividad 3. Producto integrador: protocolo visual ABO</w:t>
      </w:r>
    </w:p>
    <w:p>
      <w:pPr/>
      <w:r>
        <w:rPr>
          <w:b w:val="1"/>
          <w:bCs w:val="1"/>
        </w:rPr>
        <w:t xml:space="preserve">Objetivos:</w:t>
      </w:r>
      <w:r>
        <w:rPr/>
        <w:t xml:space="preserve"> Valorar la importancia de la compatibilidad y comunicar procedimientos seguros.</w:t>
      </w:r>
    </w:p>
    <w:p>
      <w:pPr/>
      <w:r>
        <w:rPr>
          <w:b w:val="1"/>
          <w:bCs w:val="1"/>
        </w:rPr>
        <w:t xml:space="preserve">Tiempo:</w:t>
      </w:r>
      <w:r>
        <w:rPr/>
        <w:t xml:space="preserve"> 70 minutos.</w:t>
      </w:r>
    </w:p>
    <w:p>
      <w:pPr>
        <w:numPr>
          <w:ilvl w:val="0"/>
          <w:numId w:val="14"/>
        </w:numPr>
      </w:pPr>
      <w:r>
        <w:rPr/>
        <w:t xml:space="preserve">Los estudiantes elaboran una infografía o diagrama de flujo titulado “Ruta segura para una transfusión ABO”.</w:t>
      </w:r>
    </w:p>
    <w:p>
      <w:pPr>
        <w:numPr>
          <w:ilvl w:val="0"/>
          <w:numId w:val="14"/>
        </w:numPr>
      </w:pPr>
      <w:r>
        <w:rPr/>
        <w:t xml:space="preserve">Debe incluir: identificación del paciente, toma y rotulado de muestra, tipificación ABO, factor Rh, revisión de la unidad, compatibilidad de glóbulos rojos, prueba cruzada, registro y comunicación de incidentes.</w:t>
      </w:r>
    </w:p>
    <w:p>
      <w:pPr>
        <w:numPr>
          <w:ilvl w:val="0"/>
          <w:numId w:val="14"/>
        </w:numPr>
      </w:pPr>
      <w:r>
        <w:rPr/>
        <w:t xml:space="preserve">Incluyen la tabla básica: O recibe O; A recibe A u O; B recibe B u O; AB recibe A, B, AB u O, siempre sujeto a Rh, pruebas y protocolo.</w:t>
      </w:r>
    </w:p>
    <w:p>
      <w:pPr>
        <w:numPr>
          <w:ilvl w:val="0"/>
          <w:numId w:val="14"/>
        </w:numPr>
      </w:pPr>
      <w:r>
        <w:rPr/>
        <w:t xml:space="preserve">Cada grupo intercambia su producto con otro y aplica una lista de cotejo.</w:t>
      </w:r>
    </w:p>
    <w:p>
      <w:pPr>
        <w:numPr>
          <w:ilvl w:val="0"/>
          <w:numId w:val="14"/>
        </w:numPr>
      </w:pPr>
      <w:r>
        <w:rPr/>
        <w:t xml:space="preserve">Revisan el producto a partir de dos fortalezas y una mejora sugerida.</w:t>
      </w:r>
    </w:p>
    <w:p>
      <w:pPr/>
      <w:r>
        <w:rPr>
          <w:b w:val="1"/>
          <w:bCs w:val="1"/>
        </w:rPr>
        <w:t xml:space="preserve">Diferenciación:</w:t>
      </w:r>
      <w:r>
        <w:rPr/>
        <w:t xml:space="preserve"> se permite presentar el protocolo como diagrama, audio explicativo o exposición breve; quienes necesitan apoyo reciben una plantilla con los pasos desordenados; quienes avanzan más incorporan una nota sobre compatibilidad de plasma y sus diferencias.</w:t>
      </w:r>
    </w:p>
    <w:p>
      <w:pPr/>
      <w:r>
        <w:rPr>
          <w:b w:val="1"/>
          <w:bCs w:val="1"/>
        </w:rPr>
        <w:t xml:space="preserve">Transición:</w:t>
      </w:r>
      <w:r>
        <w:rPr/>
        <w:t xml:space="preserve"> el docente solicita que cada equipo convierta el protocolo en tres recomendaciones dirigidas a un compañero que inicia sus prácticas de laboratorio.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Se realiza una galería rápida de productos. Cada estudiante observa dos protocolos y escribe una idea que conservará para su práctica y un riesgo que debe prevenir. El docente cierra con cinco mensajes: antígenos en eritrocitos, anticuerpos en plasma, aglutinación como evidencia, compatibilidad ABO para glóbulos rojos e importancia de la verificación integral.</w:t>
      </w:r>
    </w:p>
    <w:p>
      <w:pPr/>
      <w:r>
        <w:rPr>
          <w:b w:val="1"/>
          <w:bCs w:val="1"/>
        </w:rPr>
        <w:t xml:space="preserve">Reflexión metacognitiva</w:t>
      </w:r>
    </w:p>
    <w:p>
      <w:pPr>
        <w:numPr>
          <w:ilvl w:val="0"/>
          <w:numId w:val="15"/>
        </w:numPr>
      </w:pPr>
      <w:r>
        <w:rPr/>
        <w:t xml:space="preserve">¿Puedo interpretar una tipificación ABO y explicar qué evidencia utilicé?</w:t>
      </w:r>
    </w:p>
    <w:p>
      <w:pPr>
        <w:numPr>
          <w:ilvl w:val="0"/>
          <w:numId w:val="15"/>
        </w:numPr>
      </w:pPr>
      <w:r>
        <w:rPr/>
        <w:t xml:space="preserve">¿Puedo justificar por qué una unidad es compatible o incompatible?</w:t>
      </w:r>
    </w:p>
    <w:p>
      <w:pPr>
        <w:numPr>
          <w:ilvl w:val="0"/>
          <w:numId w:val="15"/>
        </w:numPr>
      </w:pPr>
      <w:r>
        <w:rPr/>
        <w:t xml:space="preserve">¿Qué haría si los datos de identificación, Rh o prueba cruzada no están completos?</w:t>
      </w:r>
    </w:p>
    <w:p>
      <w:pPr/>
      <w:r>
        <w:rPr>
          <w:b w:val="1"/>
          <w:bCs w:val="1"/>
        </w:rPr>
        <w:t xml:space="preserve">Retroalimentación, transferencia y cierre</w:t>
      </w:r>
    </w:p>
    <w:p>
      <w:pPr/>
      <w:r>
        <w:rPr>
          <w:b w:val="1"/>
          <w:bCs w:val="1"/>
        </w:rPr>
        <w:t xml:space="preserve">Docente:</w:t>
      </w:r>
      <w:r>
        <w:rPr/>
        <w:t xml:space="preserve"> entrega retroalimentación con la rúbrica, destaca logros del trabajo colaborativo y corrige los dos errores más frecuentes. Los estudiantes completan una autoevaluación sobre su rol y una coevaluación del equipo. Se conecta el aprendizaje con prácticas de laboratorio, banco de sangre, urgencias y seguridad del paciente. Como reto final, cada estudiante redacta una recomendación de cinco líneas para evitar errores de compatibilidad ABO en un servicio de salud.</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p>
    <w:p>
      <w:pPr>
        <w:numPr>
          <w:ilvl w:val="0"/>
          <w:numId w:val="16"/>
        </w:numPr>
      </w:pPr>
      <w:r>
        <w:rPr>
          <w:b w:val="1"/>
          <w:bCs w:val="1"/>
        </w:rPr>
        <w:t xml:space="preserve">Diagnóstica:</w:t>
      </w:r>
      <w:r>
        <w:rPr/>
        <w:t xml:space="preserve"> al inicio de la sesión 1, mediante la pregunta sobre transfundir cualquier unidad, y al inicio de la sesión 3, mediante el cuestionario de cinco preguntas.</w:t>
      </w:r>
    </w:p>
    <w:p>
      <w:pPr>
        <w:numPr>
          <w:ilvl w:val="0"/>
          <w:numId w:val="16"/>
        </w:numPr>
      </w:pPr>
      <w:r>
        <w:rPr>
          <w:b w:val="1"/>
          <w:bCs w:val="1"/>
        </w:rPr>
        <w:t xml:space="preserve">Formativa:</w:t>
      </w:r>
      <w:r>
        <w:rPr/>
        <w:t xml:space="preserve"> durante las sesiones 1 y 2, mediante observación directa, preguntas guía, revisión de modelos, estaciones de tipificación, matriz de compatibilidad y análisis de casos.</w:t>
      </w:r>
    </w:p>
    <w:p>
      <w:pPr>
        <w:numPr>
          <w:ilvl w:val="0"/>
          <w:numId w:val="16"/>
        </w:numPr>
      </w:pPr>
      <w:r>
        <w:rPr>
          <w:b w:val="1"/>
          <w:bCs w:val="1"/>
        </w:rPr>
        <w:t xml:space="preserve">Sumativa:</w:t>
      </w:r>
      <w:r>
        <w:rPr/>
        <w:t xml:space="preserve"> en la sesión 3, durante la simulación del comité de transfusión y la presentación del protocolo visual ABO.</w:t>
      </w:r>
    </w:p>
    <w:p>
      <w:pPr/>
      <w:r>
        <w:rPr>
          <w:b w:val="1"/>
          <w:bCs w:val="1"/>
        </w:rPr>
        <w:t xml:space="preserve">Criterios de evaluación vinculados con los objetivos</w:t>
      </w:r>
    </w:p>
    <w:p>
      <w:pPr>
        <w:numPr>
          <w:ilvl w:val="0"/>
          <w:numId w:val="17"/>
        </w:numPr>
      </w:pPr>
      <w:r>
        <w:rPr>
          <w:b w:val="1"/>
          <w:bCs w:val="1"/>
        </w:rPr>
        <w:t xml:space="preserve">Identificación conceptual:</w:t>
      </w:r>
      <w:r>
        <w:rPr/>
        <w:t xml:space="preserve"> diferencia correctamente antígenos A/B y anticuerpos anti-A/anti-B en los cuatro grupos ABO. Vinculado al objetivo 1.</w:t>
      </w:r>
    </w:p>
    <w:p>
      <w:pPr>
        <w:numPr>
          <w:ilvl w:val="0"/>
          <w:numId w:val="17"/>
        </w:numPr>
      </w:pPr>
      <w:r>
        <w:rPr>
          <w:b w:val="1"/>
          <w:bCs w:val="1"/>
        </w:rPr>
        <w:t xml:space="preserve">Interpretación técnica:</w:t>
      </w:r>
      <w:r>
        <w:rPr/>
        <w:t xml:space="preserve"> determina el grupo ABO a partir de resultados simulados de aglutinación y explica la evidencia utilizada. Vinculado al objetivo 2.</w:t>
      </w:r>
    </w:p>
    <w:p>
      <w:pPr>
        <w:numPr>
          <w:ilvl w:val="0"/>
          <w:numId w:val="17"/>
        </w:numPr>
      </w:pPr>
      <w:r>
        <w:rPr>
          <w:b w:val="1"/>
          <w:bCs w:val="1"/>
        </w:rPr>
        <w:t xml:space="preserve">Compatibilidad:</w:t>
      </w:r>
      <w:r>
        <w:rPr/>
        <w:t xml:space="preserve"> selecciona unidades ABO compatibles para concentrados de glóbulos rojos y justifica la decisión mediante antígenos y anticuerpos. Vinculado al objetivo 3.</w:t>
      </w:r>
    </w:p>
    <w:p>
      <w:pPr>
        <w:numPr>
          <w:ilvl w:val="0"/>
          <w:numId w:val="17"/>
        </w:numPr>
      </w:pPr>
      <w:r>
        <w:rPr>
          <w:b w:val="1"/>
          <w:bCs w:val="1"/>
        </w:rPr>
        <w:t xml:space="preserve">Análisis y seguridad:</w:t>
      </w:r>
      <w:r>
        <w:rPr/>
        <w:t xml:space="preserve"> detecta datos faltantes o riesgos y propone acciones como verificar identificación, Rh, prueba cruzada y protocolo institucional. Vinculado al objetivo 4.</w:t>
      </w:r>
    </w:p>
    <w:p>
      <w:pPr>
        <w:numPr>
          <w:ilvl w:val="0"/>
          <w:numId w:val="17"/>
        </w:numPr>
      </w:pPr>
      <w:r>
        <w:rPr>
          <w:b w:val="1"/>
          <w:bCs w:val="1"/>
        </w:rPr>
        <w:t xml:space="preserve">Comunicación y trabajo colaborativo:</w:t>
      </w:r>
      <w:r>
        <w:rPr/>
        <w:t xml:space="preserve"> participa con responsabilidad en su rol, escucha a sus compañeros y comunica una recomendación técnica clara. Vinculado al objetivo 5.</w:t>
      </w:r>
    </w:p>
    <w:p>
      <w:pPr/>
      <w:r>
        <w:rPr>
          <w:b w:val="1"/>
          <w:bCs w:val="1"/>
        </w:rPr>
        <w:t xml:space="preserve">Instrumentos</w:t>
      </w:r>
    </w:p>
    <w:p>
      <w:pPr>
        <w:numPr>
          <w:ilvl w:val="0"/>
          <w:numId w:val="18"/>
        </w:numPr>
      </w:pPr>
      <w:r>
        <w:rPr/>
        <w:t xml:space="preserve">Lista de cotejo para modelos ABO, estaciones de tipificación y matriz de compatibilidad.</w:t>
      </w:r>
    </w:p>
    <w:p>
      <w:pPr>
        <w:numPr>
          <w:ilvl w:val="0"/>
          <w:numId w:val="18"/>
        </w:numPr>
      </w:pPr>
      <w:r>
        <w:rPr/>
        <w:t xml:space="preserve">Rúbrica de cuatro niveles para el caso integrador y el protocolo visual.</w:t>
      </w:r>
    </w:p>
    <w:p>
      <w:pPr>
        <w:numPr>
          <w:ilvl w:val="0"/>
          <w:numId w:val="18"/>
        </w:numPr>
      </w:pPr>
      <w:r>
        <w:rPr/>
        <w:t xml:space="preserve">Registro de observación del docente sobre participación, argumentación y cumplimiento del rol.</w:t>
      </w:r>
    </w:p>
    <w:p>
      <w:pPr>
        <w:numPr>
          <w:ilvl w:val="0"/>
          <w:numId w:val="18"/>
        </w:numPr>
      </w:pPr>
      <w:r>
        <w:rPr/>
        <w:t xml:space="preserve">Coevaluación del trabajo en equipo y autoevaluación individual.</w:t>
      </w:r>
    </w:p>
    <w:p>
      <w:pPr>
        <w:numPr>
          <w:ilvl w:val="0"/>
          <w:numId w:val="18"/>
        </w:numPr>
      </w:pPr>
      <w:r>
        <w:rPr/>
        <w:t xml:space="preserve">Portafolio con hojas de trabajo, tickets de salida, casos resueltos y producto final.</w:t>
      </w:r>
    </w:p>
    <w:p>
      <w:pPr/>
      <w:r>
        <w:rPr>
          <w:b w:val="1"/>
          <w:bCs w:val="1"/>
        </w:rPr>
        <w:t xml:space="preserve">Evidencias de aprendizaje</w:t>
      </w:r>
    </w:p>
    <w:p>
      <w:pPr>
        <w:numPr>
          <w:ilvl w:val="0"/>
          <w:numId w:val="19"/>
        </w:numPr>
      </w:pPr>
      <w:r>
        <w:rPr/>
        <w:t xml:space="preserve">Tabla de antígenos y anticuerpos de los grupos A, B, AB y O.</w:t>
      </w:r>
    </w:p>
    <w:p>
      <w:pPr>
        <w:numPr>
          <w:ilvl w:val="0"/>
          <w:numId w:val="19"/>
        </w:numPr>
      </w:pPr>
      <w:r>
        <w:rPr/>
        <w:t xml:space="preserve">Registro de seis tipificaciones simuladas mediante anti-A y anti-B.</w:t>
      </w:r>
    </w:p>
    <w:p>
      <w:pPr>
        <w:numPr>
          <w:ilvl w:val="0"/>
          <w:numId w:val="19"/>
        </w:numPr>
      </w:pPr>
      <w:r>
        <w:rPr/>
        <w:t xml:space="preserve">Matriz de compatibilidad ABO para concentrados de glóbulos rojos.</w:t>
      </w:r>
    </w:p>
    <w:p>
      <w:pPr>
        <w:numPr>
          <w:ilvl w:val="0"/>
          <w:numId w:val="19"/>
        </w:numPr>
      </w:pPr>
      <w:r>
        <w:rPr/>
        <w:t xml:space="preserve">Hojas de análisis de casos y defensa oral de decisiones transfusionales.</w:t>
      </w:r>
    </w:p>
    <w:p>
      <w:pPr>
        <w:numPr>
          <w:ilvl w:val="0"/>
          <w:numId w:val="19"/>
        </w:numPr>
      </w:pPr>
      <w:r>
        <w:rPr/>
        <w:t xml:space="preserve">Infografía o diagrama de flujo sobre la ruta segura de transfusión ABO.</w:t>
      </w:r>
    </w:p>
    <w:p>
      <w:pPr>
        <w:numPr>
          <w:ilvl w:val="0"/>
          <w:numId w:val="19"/>
        </w:numPr>
      </w:pPr>
      <w:r>
        <w:rPr/>
        <w:t xml:space="preserve">Ticket de salida, autoevaluación y reto final escrito.</w:t>
      </w:r>
    </w:p>
    <w:p>
      <w:pPr/>
      <w:r>
        <w:rPr>
          <w:b w:val="1"/>
          <w:bCs w:val="1"/>
        </w:rPr>
        <w:t xml:space="preserve">Escala sugerida</w:t>
      </w:r>
    </w:p>
    <w:p>
      <w:pPr/>
      <w:r>
        <w:rPr/>
        <w:t xml:space="preserve">La rúbrica puede distribuirse así: 30 % interpretación ABO, 30 % compatibilidad y justificación, 20 % seguridad del procedimiento, 10 % comunicación técnica y 10 % colaboración. Se considera logrado el desempeño cuando el estudiante obtiene al menos el 70 % y no comete errores críticos de identificación o selección de una unidad incompatible en la simulación.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A41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E6C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1A8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5D8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5B6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8AB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5A7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16B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F9F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B25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DA1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B52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AC0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09A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2FC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9A1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31D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361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337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2026-09-25T22:09:53-05:00</dcterms:created>
  <dcterms:modified xsi:type="dcterms:W3CDTF">2026-09-25T22:09:53-05:00</dcterms:modified>
</cp:coreProperties>
</file>

<file path=docProps/custom.xml><?xml version="1.0" encoding="utf-8"?>
<Properties xmlns="http://schemas.openxmlformats.org/officeDocument/2006/custom-properties" xmlns:vt="http://schemas.openxmlformats.org/officeDocument/2006/docPropsVTypes"/>
</file>