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fuerzas invisibles: Fuerzas mecánicas especiales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analicen las fuerzas mecánicas especiales, tales como la fuerza de fricción, la fuerza elástica y la fuerza centrípeta. A través de actividades dinámicas y ejemplos cotidianos, los alumnos aprenderán cómo estas fuerzas influyen en distintos fenómenos físicos y tecnológicos que impactan su vida diaria, desde el andar en bicicleta hasta el funcionamiento de los vehículos y máquinas.</w:t>
      </w:r>
    </w:p>
    <w:p>
      <w:pPr/>
      <w:r>
        <w:rPr/>
        <w:t xml:space="preserve">El aprendizaje de estas fuerzas les permitirá desarrollar un pensamiento crítico sobre la manera en que interactúan los objetos con su entorno y cómo estas fuerzas pueden aprovecharse o minimizarse para resolver problemas prácticos. Además, se fomenta el desarrollo de competencias científicas como la observación, el análisis y la comunicación, mediante actividades colaborativas y reflexivas. Este conocimiento conecta la física teórica con aplicaciones reales, motivando a los estudiantes a observar el mundo que los rodea con una mirada científica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efectos de las fuerzas mecánicas especiales: fricción, fuerza elástica y fuerza centrípeta.</w:t>
      </w:r>
    </w:p>
    <w:p>
      <w:pPr>
        <w:numPr>
          <w:ilvl w:val="0"/>
          <w:numId w:val="1"/>
        </w:numPr>
      </w:pPr>
      <w:r>
        <w:rPr/>
        <w:t xml:space="preserve">Comparar situaciones cotidianas en las que actúan diferentes fuerzas mecánicas especiales.</w:t>
      </w:r>
    </w:p>
    <w:p>
      <w:pPr>
        <w:numPr>
          <w:ilvl w:val="0"/>
          <w:numId w:val="1"/>
        </w:numPr>
      </w:pPr>
      <w:r>
        <w:rPr/>
        <w:t xml:space="preserve">Explicar mediante ejemplos prácticos cómo influyen estas fuerzas en el movimiento y equilibrio de los objetos.</w:t>
      </w:r>
    </w:p>
    <w:p>
      <w:pPr>
        <w:numPr>
          <w:ilvl w:val="0"/>
          <w:numId w:val="1"/>
        </w:numPr>
      </w:pPr>
      <w:r>
        <w:rPr/>
        <w:t xml:space="preserve">Diseñar y comunicar conclusiones sobre experimentos sencillos que evidencien la acción de estas fuerzas.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goma o esferas pequeñas (3 por grupo)</w:t>
      </w:r>
    </w:p>
    <w:p>
      <w:pPr>
        <w:numPr>
          <w:ilvl w:val="0"/>
          <w:numId w:val="2"/>
        </w:numPr>
      </w:pPr>
      <w:r>
        <w:rPr/>
        <w:t xml:space="preserve">Bandas elásticas (1 por grupo)</w:t>
      </w:r>
    </w:p>
    <w:p>
      <w:pPr>
        <w:numPr>
          <w:ilvl w:val="0"/>
          <w:numId w:val="2"/>
        </w:numPr>
      </w:pPr>
      <w:r>
        <w:rPr/>
        <w:t xml:space="preserve">Superficies variadas (madera, plástico, tela) para experimentos de fricción</w:t>
      </w:r>
    </w:p>
    <w:p>
      <w:pPr>
        <w:numPr>
          <w:ilvl w:val="0"/>
          <w:numId w:val="2"/>
        </w:numPr>
      </w:pPr>
      <w:r>
        <w:rPr/>
        <w:t xml:space="preserve">Dispositivo digital con proyector o computadora para mostrar videos cortos</w:t>
      </w:r>
    </w:p>
    <w:p>
      <w:pPr>
        <w:numPr>
          <w:ilvl w:val="0"/>
          <w:numId w:val="2"/>
        </w:numPr>
      </w:pPr>
      <w:r>
        <w:rPr/>
        <w:t xml:space="preserve">Video corto explicativo sobre fuerzas mecánicas especiales (3-4 minutos)</w:t>
      </w:r>
    </w:p>
    <w:p>
      <w:pPr>
        <w:numPr>
          <w:ilvl w:val="0"/>
          <w:numId w:val="2"/>
        </w:numPr>
      </w:pPr>
      <w:r>
        <w:rPr/>
        <w:t xml:space="preserve">Hojas de trabajo impresas con actividades y preguntas</w:t>
      </w:r>
    </w:p>
    <w:p>
      <w:pPr>
        <w:numPr>
          <w:ilvl w:val="0"/>
          <w:numId w:val="2"/>
        </w:numPr>
      </w:pPr>
      <w:r>
        <w:rPr/>
        <w:t xml:space="preserve">Marcadores y pizarrón o pizarra digital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fuerzas y movimiento (conceptos de fuerza, masa y aceleración).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registro de datos simples.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activamente en experimentos.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fuerzas mecánicas especiales que no siempre vemos, pero que afectan muchas actividades diarias, como andar en bicicleta o lanzar una pelota. Comprenderlas nos ayudará a entender mejor el mundo físico y a resolver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"¿Alguna vez han sentido que frenar una bicicleta cuesta más en el asfalto que en la tierra? ¿Por qué creen que sucede esto?" Pide que piensen por un minuto y compartan su respuesta en parejas.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luego discuten en parejas, aportando ideas basadas en sus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situaciones cotidianas donde actúan fuerzas especiales: fricción en deportes, fuerza elástica en juguetes y fuerza centrípeta en juegos de parque. Al terminar, pregunta: "¿Les sorprendió alguna de estas fuerzas? ¿Cuál quisieran entender mejor?"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Visualizan el video y expresan sus opiniones brevemente, motivándose para el desarrollo de la sesión.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visto con la vida diaria: "Estas fuerzas están siempre con nosotros, ya sea caminando, usando ropa elástica o girando en una rueda de parque. Hoy aprenderemos cómo funcionan y por qué son tan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y se preparan para las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cada fuerza especial con apoyos visuales y lenguaje claro: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Fuerza de fricción:</w:t>
      </w:r>
      <w:r>
        <w:rPr/>
        <w:t xml:space="preserve"> Fuerza que se opone al movimiento entre dos superficies en contacto.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Fuerza elástica:</w:t>
      </w:r>
      <w:r>
        <w:rPr/>
        <w:t xml:space="preserve"> Fuerza que recupera la forma de un objeto cuando se deforma (como bandas elásticas).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Fuerza centrípeta:</w:t>
      </w:r>
      <w:r>
        <w:rPr/>
        <w:t xml:space="preserve"> Fuerza que mantiene a un objeto en movimiento circular, dirigida hacia el centro del círculo.</w:t>
      </w:r>
    </w:p>
    <w:p>
      <w:pPr/>
      <w:r>
        <w:rPr/>
        <w:t xml:space="preserve">Utiliza imágenes, esquemas y ejemplos concretos para facilitar la comprensión.</w:t>
      </w:r>
    </w:p>
    <w:p>
      <w:pPr/>
      <w:r>
        <w:rPr>
          <w:b w:val="1"/>
          <w:bCs w:val="1"/>
        </w:rPr>
        <w:t xml:space="preserve">Actividad 1: Explorando la fuerza de fricción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varía la fuerza de fricción en diferentes superficies.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distribuye los materiales (pelotas y superficies) en grupos de 3-4 estudiantes.</w:t>
      </w:r>
    </w:p>
    <w:p>
      <w:pPr>
        <w:numPr>
          <w:ilvl w:val="1"/>
          <w:numId w:val="5"/>
        </w:numPr>
      </w:pPr>
      <w:r>
        <w:rPr/>
        <w:t xml:space="preserve">Los estudiantes lanzan la pelota sobre cada superficie y observan cómo cambia la distancia recorrida.</w:t>
      </w:r>
    </w:p>
    <w:p>
      <w:pPr>
        <w:numPr>
          <w:ilvl w:val="1"/>
          <w:numId w:val="5"/>
        </w:numPr>
      </w:pPr>
      <w:r>
        <w:rPr/>
        <w:t xml:space="preserve">Registran sus observaciones en la hoja de trabajo, respondiendo: ¿En qué superficie la pelota rodó más lejos? ¿Por qué?</w:t>
      </w:r>
    </w:p>
    <w:p>
      <w:pPr>
        <w:numPr>
          <w:ilvl w:val="1"/>
          <w:numId w:val="5"/>
        </w:numPr>
      </w:pPr>
      <w:r>
        <w:rPr/>
        <w:t xml:space="preserve">Discuten brevemente cómo la fricción afecta el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"¿Qué pasa al cambiar la superficie? ¿Cómo afectaría esto a una bicicleta?"</w:t>
      </w:r>
    </w:p>
    <w:p>
      <w:pPr/>
      <w:r>
        <w:rPr>
          <w:b w:val="1"/>
          <w:bCs w:val="1"/>
        </w:rPr>
        <w:t xml:space="preserve">Actividad 2: Fuerza elástica en acción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comportamiento de la fuerza elástica mediante experimentos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banda elástica para estirar suavemente y liberar.</w:t>
      </w:r>
    </w:p>
    <w:p>
      <w:pPr>
        <w:numPr>
          <w:ilvl w:val="1"/>
          <w:numId w:val="6"/>
        </w:numPr>
      </w:pPr>
      <w:r>
        <w:rPr/>
        <w:t xml:space="preserve">Los estudiantes observan cómo la banda retorna a su forma original y anotan qué sucede si la estiran más o menos.</w:t>
      </w:r>
    </w:p>
    <w:p>
      <w:pPr>
        <w:numPr>
          <w:ilvl w:val="1"/>
          <w:numId w:val="6"/>
        </w:numPr>
      </w:pPr>
      <w:r>
        <w:rPr/>
        <w:t xml:space="preserve">Responden en su hoja: ¿Qué relación hay entre la deformación y la fuerza que siente la banda?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preguntando: "¿Qué pasaría si la banda se estira demasiado? ¿Conocen objetos que usen esta fuerza?"</w:t>
      </w:r>
    </w:p>
    <w:p>
      <w:pPr/>
      <w:r>
        <w:rPr>
          <w:b w:val="1"/>
          <w:bCs w:val="1"/>
        </w:rPr>
        <w:t xml:space="preserve">Actividad 3: Entendiendo la fuerza centrípeta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explicar el movimiento circular y la fuerza centrípeta mediante demostración y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realiza una demostración girando una pelota atada a una cuerda.</w:t>
      </w:r>
    </w:p>
    <w:p>
      <w:pPr>
        <w:numPr>
          <w:ilvl w:val="1"/>
          <w:numId w:val="7"/>
        </w:numPr>
      </w:pPr>
      <w:r>
        <w:rPr/>
        <w:t xml:space="preserve">Pregunta: "¿Por qué la pelota no se va en línea recta? ¿Qué mantiene su trayectoria circular?"</w:t>
      </w:r>
    </w:p>
    <w:p>
      <w:pPr>
        <w:numPr>
          <w:ilvl w:val="1"/>
          <w:numId w:val="7"/>
        </w:numPr>
      </w:pPr>
      <w:r>
        <w:rPr/>
        <w:t xml:space="preserve">Los estudiantes discuten en parejas y luego comparten sus ideas en plenaria.</w:t>
      </w:r>
    </w:p>
    <w:p>
      <w:pPr>
        <w:numPr>
          <w:ilvl w:val="1"/>
          <w:numId w:val="7"/>
        </w:numPr>
      </w:pPr>
      <w:r>
        <w:rPr/>
        <w:t xml:space="preserve">Se registra en el pizarrón una definición colectiva de fuerza centrípeta.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en el pizarrón y apuntes individuales.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el análisis con preguntas: "¿Qué pasaría si la cuerda se rompe? ¿Dónde vemos ejemplos similares en la vida real?"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otro ejemplo de fuerza mecánica especial en su entorno y preparan una breve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una hoja con definiciones simplificadas y apoyo del docente o un compañero para completar las actividades, además de explicaciones visuales y verbales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cada fuerza aparece en situaciones distintas pero relacionadas, reforzando el hilo conductor: "Ahora que entendimos la fricción, veamos cómo la elasticidad también influye en objetos que usamos diariamente, y finalmente exploraremos el movimiento circular con la fuerza centrípeta."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individualmente, completen un "ticket de salida" respondiendo: "Escribe tres ideas clave que aprendiste hoy sobre las fuerzas mecánicas especiales y un ejemplo de cada una."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formula las siguientes preguntas para discutir en voz alta o en pequeños grupos:</w:t>
      </w:r>
    </w:p>
    <w:p>
      <w:pPr>
        <w:numPr>
          <w:ilvl w:val="0"/>
          <w:numId w:val="9"/>
        </w:numPr>
      </w:pPr>
      <w:r>
        <w:rPr/>
        <w:t xml:space="preserve">¿Cómo puedo identificar estas fuerzas en mi entorno cotidiano?</w:t>
      </w:r>
    </w:p>
    <w:p>
      <w:pPr>
        <w:numPr>
          <w:ilvl w:val="0"/>
          <w:numId w:val="9"/>
        </w:numPr>
      </w:pPr>
      <w:r>
        <w:rPr/>
        <w:t xml:space="preserve">¿Cuál fuerza me pareció más fácil o difícil de entender y por qué?</w:t>
      </w:r>
    </w:p>
    <w:p>
      <w:pPr>
        <w:numPr>
          <w:ilvl w:val="0"/>
          <w:numId w:val="9"/>
        </w:numPr>
      </w:pPr>
      <w:r>
        <w:rPr/>
        <w:t xml:space="preserve">¿De qué manera puedo aplicar este conocimiento en mi vida diaria o en otras asignaturas?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ejemplos destacados y aclara dudas frecuentes, reforzando los conceptos esenciales.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sesiones: "En la próxima clase veremos cómo estas fuerzas afectan máquinas y dispositivos complejos, y cómo se aplican en la ingeniería."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observar y fotografiar (si es posible) un objeto o situación en casa o en la calle donde identifiquen una fuerza mecánica especial y a describir brevemente su función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fase de inicio (pregunta detonadora), formativa en el desarrollo (observación y registro en actividades experimentales)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las características y efectos de las fuerzas mecánicas especiales (relacionado con objetivos 1 y 3).</w:t>
      </w:r>
    </w:p>
    <w:p>
      <w:pPr>
        <w:numPr>
          <w:ilvl w:val="0"/>
          <w:numId w:val="10"/>
        </w:numPr>
      </w:pPr>
      <w:r>
        <w:rPr/>
        <w:t xml:space="preserve">Compara y reconoce ejemplos cotidianos de fuerzas mecánicas especiales (objetivo 2).</w:t>
      </w:r>
    </w:p>
    <w:p>
      <w:pPr>
        <w:numPr>
          <w:ilvl w:val="0"/>
          <w:numId w:val="10"/>
        </w:numPr>
      </w:pPr>
      <w:r>
        <w:rPr/>
        <w:t xml:space="preserve">Explica con claridad y utiliza ejemplos prácticos para describir las fuerzas (objetivos 3 y 4).</w:t>
      </w:r>
    </w:p>
    <w:p>
      <w:pPr>
        <w:numPr>
          <w:ilvl w:val="0"/>
          <w:numId w:val="10"/>
        </w:numPr>
      </w:pPr>
      <w:r>
        <w:rPr/>
        <w:t xml:space="preserve">Participa activamente en actividades experimentales y discusiones (objetivos 1-4).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 prácticas y discusiones.</w:t>
      </w:r>
    </w:p>
    <w:p>
      <w:pPr>
        <w:numPr>
          <w:ilvl w:val="0"/>
          <w:numId w:val="11"/>
        </w:numPr>
      </w:pPr>
      <w:r>
        <w:rPr/>
        <w:t xml:space="preserve">Rúbrica para evaluar respuestas escritas en hojas de trabajo y ticket de salida.</w:t>
      </w:r>
    </w:p>
    <w:p>
      <w:pPr>
        <w:numPr>
          <w:ilvl w:val="0"/>
          <w:numId w:val="11"/>
        </w:numPr>
      </w:pPr>
      <w:r>
        <w:rPr/>
        <w:t xml:space="preserve">Autoevaluación y coevaluación con preguntas guiadas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en hojas de trabajo sobre fricción y elasticidad.</w:t>
      </w:r>
    </w:p>
    <w:p>
      <w:pPr>
        <w:numPr>
          <w:ilvl w:val="0"/>
          <w:numId w:val="12"/>
        </w:numPr>
      </w:pPr>
      <w:r>
        <w:rPr/>
        <w:t xml:space="preserve">Participación y aportes en discusión sobre fuerza centrípeta.</w:t>
      </w:r>
    </w:p>
    <w:p>
      <w:pPr>
        <w:numPr>
          <w:ilvl w:val="0"/>
          <w:numId w:val="12"/>
        </w:numPr>
      </w:pPr>
      <w:r>
        <w:rPr/>
        <w:t xml:space="preserve">Ticket de salida con síntesis de ideas clave y ejemplos.</w:t>
      </w:r>
    </w:p>
    <w:p>
      <w:pPr>
        <w:numPr>
          <w:ilvl w:val="0"/>
          <w:numId w:val="12"/>
        </w:numPr>
      </w:pPr>
      <w:r>
        <w:rPr/>
        <w:t xml:space="preserve">Reflexiones metacognitivas orales o escritas que demuestren comprensión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de la participación y disposición de estudiantes de media (15-17 años) durante la fase inicial de la sesión de 1 hora sobre "Fuerzas mecánicas especiales".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constante, mantiene contacto visual y demuestra interés activo durante toda la fase.</w:t>
            </w:r>
          </w:p>
        </w:tc>
        <w:tc>
          <w:tcPr>
            <w:noWrap/>
          </w:tcPr>
          <w:p>
            <w:pPr/>
            <w:r>
              <w:rPr/>
              <w:t xml:space="preserve">Generalmente atento, sigue la explicación con pocos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Atento en algunos momentos, pero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Distracción constante, no sigue la explicación ni muestra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oral</w:t>
            </w:r>
          </w:p>
        </w:tc>
        <w:tc>
          <w:tcPr>
            <w:noWrap/>
          </w:tcPr>
          <w:p>
            <w:pPr/>
            <w:r>
              <w:rPr/>
              <w:t xml:space="preserve">Interviene espontáneamente y aporta preguntas o comentarios relevantes.</w:t>
            </w:r>
          </w:p>
        </w:tc>
        <w:tc>
          <w:tcPr>
            <w:noWrap/>
          </w:tcPr>
          <w:p>
            <w:pPr/>
            <w:r>
              <w:rPr/>
              <w:t xml:space="preserve">Responde preguntas cuando se le solicita y participa con algunos comentarios.</w:t>
            </w:r>
          </w:p>
        </w:tc>
        <w:tc>
          <w:tcPr>
            <w:noWrap/>
          </w:tcPr>
          <w:p>
            <w:pPr/>
            <w:r>
              <w:rPr/>
              <w:t xml:space="preserve">Responde solo con ayuda o indicaciones y participa poco.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actitud abierta, escucha a sus compañeros y colabora activamente.</w:t>
            </w:r>
          </w:p>
        </w:tc>
        <w:tc>
          <w:tcPr>
            <w:noWrap/>
          </w:tcPr>
          <w:p>
            <w:pPr/>
            <w:r>
              <w:rPr/>
              <w:t xml:space="preserve">Generalmente dispuesto a colaborar, aunque a veces requiere motivación.</w:t>
            </w:r>
          </w:p>
        </w:tc>
        <w:tc>
          <w:tcPr>
            <w:noWrap/>
          </w:tcPr>
          <w:p>
            <w:pPr/>
            <w:r>
              <w:rPr/>
              <w:t xml:space="preserve">Muestra resistencia o indiferencia a trabajar en grupo.</w:t>
            </w:r>
          </w:p>
        </w:tc>
        <w:tc>
          <w:tcPr>
            <w:noWrap/>
          </w:tcPr>
          <w:p>
            <w:pPr/>
            <w:r>
              <w:rPr/>
              <w:t xml:space="preserve">Rechaza o dificulta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normas de la clase</w:t>
            </w:r>
          </w:p>
        </w:tc>
        <w:tc>
          <w:tcPr>
            <w:noWrap/>
          </w:tcPr>
          <w:p>
            <w:pPr/>
            <w:r>
              <w:rPr/>
              <w:t xml:space="preserve">Sigue las normas sin recordatorio y mantiene un comportamiento respetuoso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Requiere recordatorios frecuentes para respetar normas y turnos.</w:t>
            </w:r>
          </w:p>
        </w:tc>
        <w:tc>
          <w:tcPr>
            <w:noWrap/>
          </w:tcPr>
          <w:p>
            <w:pPr/>
            <w:r>
              <w:rPr/>
              <w:t xml:space="preserve">No respeta normas y dificulta el desarrollo de la clase.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13"/>
        </w:numPr>
      </w:pPr>
      <w:r>
        <w:rPr/>
        <w:t xml:space="preserve">Observar durante la introducción y actividades iniciales para asignar puntajes basados en comportamientos concretos.</w:t>
      </w:r>
    </w:p>
    <w:p>
      <w:pPr>
        <w:numPr>
          <w:ilvl w:val="0"/>
          <w:numId w:val="13"/>
        </w:numPr>
      </w:pPr>
      <w:r>
        <w:rPr/>
        <w:t xml:space="preserve">Utilizar la rúbrica para retroalimentar a los estudiantes y promover una mejor disposición en fases posteriores.</w:t>
      </w:r>
    </w:p>
    <w:p>
      <w:pPr>
        <w:numPr>
          <w:ilvl w:val="0"/>
          <w:numId w:val="13"/>
        </w:numPr>
      </w:pPr>
      <w:r>
        <w:rPr/>
        <w:t xml:space="preserve">Considerar adaptaciones según las necesidades individuales para asegurar la inclusión y participación de todos.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las fuerzas invisibles: Fuerzas mecánicas especiales en acción"</w:t>
      </w:r>
    </w:p>
    <w:p>
      <w:pPr/>
      <w:r>
        <w:rPr/>
        <w:t xml:space="preserve">Para una sesión de 1 hora orientada a estudiantes de 15-17 años, los ejemplos y casos deben ser concretos, cotidianos, visuales y permitir distintas formas de acceso al contenido, alineados con el Diseño Universal para el Aprendizaje (DUA). Esto facilita la comprensión de conceptos abstractos como las fuerzas mecánicas especiales.</w:t>
      </w:r>
    </w:p>
    <w:p>
      <w:pPr/>
      <w:r>
        <w:rPr>
          <w:b w:val="1"/>
          <w:bCs w:val="1"/>
        </w:rPr>
        <w:t xml:space="preserve">Objetivos de aprendizaje (sugeridos para alinear ejemplos)</w:t>
      </w:r>
    </w:p>
    <w:p>
      <w:pPr>
        <w:numPr>
          <w:ilvl w:val="0"/>
          <w:numId w:val="14"/>
        </w:numPr>
      </w:pPr>
      <w:r>
        <w:rPr/>
        <w:t xml:space="preserve">Identificar y describir las fuerzas mecánicas especiales: fuerza de fricción, tensión, fuerza elástica y fuerza normal.</w:t>
      </w:r>
    </w:p>
    <w:p>
      <w:pPr>
        <w:numPr>
          <w:ilvl w:val="0"/>
          <w:numId w:val="14"/>
        </w:numPr>
      </w:pPr>
      <w:r>
        <w:rPr/>
        <w:t xml:space="preserve">Analizar situaciones cotidianas donde actúan estas fuerzas.</w:t>
      </w:r>
    </w:p>
    <w:p>
      <w:pPr>
        <w:numPr>
          <w:ilvl w:val="0"/>
          <w:numId w:val="14"/>
        </w:numPr>
      </w:pPr>
      <w:r>
        <w:rPr/>
        <w:t xml:space="preserve">Aplicar el conocimiento sobre fuerzas mecánicas para explicar fenómenos físicos comunes.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Fuerza de Fricción:</w:t>
      </w:r>
    </w:p>
    <w:p>
      <w:pPr>
        <w:numPr>
          <w:ilvl w:val="1"/>
          <w:numId w:val="15"/>
        </w:numPr>
      </w:pPr>
      <w:r>
        <w:rPr/>
        <w:t xml:space="preserve">Ejemplo: Empujar una caja sobre diferentes superficies (madera, alfombra, piso mojado). Los estudiantes pueden comparar cómo cambia la dificultad y deducir la relación con la fricción.</w:t>
      </w:r>
    </w:p>
    <w:p>
      <w:pPr>
        <w:numPr>
          <w:ilvl w:val="1"/>
          <w:numId w:val="15"/>
        </w:numPr>
      </w:pPr>
      <w:r>
        <w:rPr/>
        <w:t xml:space="preserve">Recurso DUA: Video corto mostrando experimentos con superficies diferentes y cuestionario interactivo para identificar variables.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Fuerza de Tensión:</w:t>
      </w:r>
    </w:p>
    <w:p>
      <w:pPr>
        <w:numPr>
          <w:ilvl w:val="1"/>
          <w:numId w:val="15"/>
        </w:numPr>
      </w:pPr>
      <w:r>
        <w:rPr/>
        <w:t xml:space="preserve">Ejemplo: Análisis de una cuerda de salto o una hamaca. Se puede discutir cómo la tensión varía dependiendo del peso o la fuerza aplicada.</w:t>
      </w:r>
    </w:p>
    <w:p>
      <w:pPr>
        <w:numPr>
          <w:ilvl w:val="1"/>
          <w:numId w:val="15"/>
        </w:numPr>
      </w:pPr>
      <w:r>
        <w:rPr/>
        <w:t xml:space="preserve">Recurso DUA: Infografía con imágenes y descripciones, acompañada de una simulación digital donde los estudiantes ajustan la fuerza y visualizan la tensión.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Fuerza Elástica:</w:t>
      </w:r>
    </w:p>
    <w:p>
      <w:pPr>
        <w:numPr>
          <w:ilvl w:val="1"/>
          <w:numId w:val="15"/>
        </w:numPr>
      </w:pPr>
      <w:r>
        <w:rPr/>
        <w:t xml:space="preserve">Ejemplo: Uso de una liga o resorte para lanzar un objeto pequeño. Los estudiantes pueden medir la distancia y relacionarla con la deformación del resorte.</w:t>
      </w:r>
    </w:p>
    <w:p>
      <w:pPr>
        <w:numPr>
          <w:ilvl w:val="1"/>
          <w:numId w:val="15"/>
        </w:numPr>
      </w:pPr>
      <w:r>
        <w:rPr/>
        <w:t xml:space="preserve">Recurso DUA: Experimento guiado con instrucciones en audio y texto, además de diagramas que expliquen la ley de Hooke en términos sencillos.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Fuerza Normal:</w:t>
      </w:r>
    </w:p>
    <w:p>
      <w:pPr>
        <w:numPr>
          <w:ilvl w:val="1"/>
          <w:numId w:val="15"/>
        </w:numPr>
      </w:pPr>
      <w:r>
        <w:rPr/>
        <w:t xml:space="preserve">Ejemplo: Colocar un libro sobre una mesa y discutir cómo la mesa ejerce una fuerza hacia arriba equilibrando el peso del libro.</w:t>
      </w:r>
    </w:p>
    <w:p>
      <w:pPr>
        <w:numPr>
          <w:ilvl w:val="1"/>
          <w:numId w:val="15"/>
        </w:numPr>
      </w:pPr>
      <w:r>
        <w:rPr/>
        <w:t xml:space="preserve">Recurso DUA: Animación interactiva donde los estudiantes pueden modificar el peso del libro y observar cambios en la fuerza normal.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Conexión con Objetivos y DUA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Rescate en la Montaña</w:t>
            </w:r>
          </w:p>
        </w:tc>
        <w:tc>
          <w:tcPr>
            <w:noWrap/>
          </w:tcPr>
          <w:p>
            <w:pPr/>
            <w:r>
              <w:rPr/>
              <w:t xml:space="preserve">Estudiantes analizan cómo la tensión en la cuerda de un rescate afecta la seguridad del proceso, considerando el peso del rescatista y la fuerza ejercida por el equipo.</w:t>
            </w:r>
          </w:p>
        </w:tc>
        <w:tc>
          <w:tcPr>
            <w:noWrap/>
          </w:tcPr>
          <w:p>
            <w:pPr/>
            <w:r>
              <w:rPr/>
              <w:t xml:space="preserve">Promueve el análisis crítico y la aplicación de la fuerza de tensión en un contexto real; ofrece múltiples formatos de presentación (texto, imagen, video) para accesibilidad.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Frenado de una Bicicleta</w:t>
            </w:r>
          </w:p>
        </w:tc>
        <w:tc>
          <w:tcPr>
            <w:noWrap/>
          </w:tcPr>
          <w:p>
            <w:pPr/>
            <w:r>
              <w:rPr/>
              <w:t xml:space="preserve">Estudio de cómo la fuerza de fricción entre los frenos y las ruedas permite detener una bicicleta, con discusión sobre superficies mojadas y secas.</w:t>
            </w:r>
          </w:p>
        </w:tc>
        <w:tc>
          <w:tcPr>
            <w:noWrap/>
          </w:tcPr>
          <w:p>
            <w:pPr/>
            <w:r>
              <w:rPr/>
              <w:t xml:space="preserve">Conecta con la experiencia cotidiana; uso de videos y gráficos para diferentes estilos de aprendizaje; permite debates y preguntas para expresión verbal y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Salto con Resorte</w:t>
            </w:r>
          </w:p>
        </w:tc>
        <w:tc>
          <w:tcPr>
            <w:noWrap/>
          </w:tcPr>
          <w:p>
            <w:pPr/>
            <w:r>
              <w:rPr/>
              <w:t xml:space="preserve">Evaluación del comportamiento de un resorte al comprimirlo y lanzar un objeto, explicando la fuerza elástica y su relación con la energía almacenada.</w:t>
            </w:r>
          </w:p>
        </w:tc>
        <w:tc>
          <w:tcPr>
            <w:noWrap/>
          </w:tcPr>
          <w:p>
            <w:pPr/>
            <w:r>
              <w:rPr/>
              <w:t xml:space="preserve">Facilita la experimentación práctica y el aprendizaje kinestésico; incorpora guías paso a paso y opciones para registrar datos de forma escrita o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Libro en la Mesa</w:t>
            </w:r>
          </w:p>
        </w:tc>
        <w:tc>
          <w:tcPr>
            <w:noWrap/>
          </w:tcPr>
          <w:p>
            <w:pPr/>
            <w:r>
              <w:rPr/>
              <w:t xml:space="preserve">Observación y explicación de la fuerza normal que evita que el libro atraviese la mesa, con variaciones en peso y superficie.</w:t>
            </w:r>
          </w:p>
        </w:tc>
        <w:tc>
          <w:tcPr>
            <w:noWrap/>
          </w:tcPr>
          <w:p>
            <w:pPr/>
            <w:r>
              <w:rPr/>
              <w:t xml:space="preserve">Ejemplo sencillo que facilita la comprensión inicial; materiales visuales y experimentales para diversificar el acceso al contenido.</w:t>
            </w:r>
          </w:p>
        </w:tc>
      </w:tr>
    </w:tbl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6"/>
        </w:numPr>
      </w:pPr>
      <w:r>
        <w:rPr/>
        <w:t xml:space="preserve">Distribuir materiales en formatos variados (videos, textos, imágenes, simulaciones) para responder a diferentes estilos de aprendizaje.</w:t>
      </w:r>
    </w:p>
    <w:p>
      <w:pPr>
        <w:numPr>
          <w:ilvl w:val="0"/>
          <w:numId w:val="16"/>
        </w:numPr>
      </w:pPr>
      <w:r>
        <w:rPr/>
        <w:t xml:space="preserve">Incluir preguntas guía que fomenten la reflexión y la conexión entre la teoría y la práctica.</w:t>
      </w:r>
    </w:p>
    <w:p>
      <w:pPr>
        <w:numPr>
          <w:ilvl w:val="0"/>
          <w:numId w:val="16"/>
        </w:numPr>
      </w:pPr>
      <w:r>
        <w:rPr/>
        <w:t xml:space="preserve">Permitir que los estudiantes elijan entre realizar un experimento práctico, una simulación virtual o un análisis de caso escrito para demostrar comprensión.</w:t>
      </w:r>
    </w:p>
    <w:p>
      <w:pPr>
        <w:numPr>
          <w:ilvl w:val="0"/>
          <w:numId w:val="16"/>
        </w:numPr>
      </w:pPr>
      <w:r>
        <w:rPr/>
        <w:t xml:space="preserve">Usar recursos accesibles, por ejemplo, subtítulos en videos, textos legibles y explicaciones orales para estudiantes con diferentes necesidades.</w:t>
      </w:r>
    </w:p>
    <w:p>
      <w:pPr/>
      <w:r>
        <w:rPr/>
        <w:t xml:space="preserve">Estos ejemplos y casos de estudio aseguran que los estudiantes puedan experimentar, observar y analizar las fuerzas mecánicas especiales en contextos relevantes, promoviendo un aprendizaje inclusivo y significativo durante la sesión de una hora.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 Video interactivo con preguntas integradas (e.g., Edpuzzle)</w:t>
      </w:r>
      <w:r>
        <w:rPr/>
        <w:t xml:space="preserve">Implementación: El docente utiliza un video sobre fuerzas mecánicas especiales y lo integra en Edpuzzle para añadir preguntas de reflexión durante la reproducción. Los estudiantes lo ven en clase o en casa y responden las preguntas, lo que fomenta la atención activa y la comprensión.</w:t>
      </w:r>
      <w:r>
        <w:rPr/>
        <w:t xml:space="preserve">Contribución a objetivos: Promueve la motivación y activación de conocimientos previos, facilitando la comprensión inicial de las fuerzas especiales a través de ejemplos visuales y preguntas guiadas.</w:t>
      </w:r>
      <w:r>
        <w:rPr/>
        <w:t xml:space="preserve">Nivel SAMR: Aumento (mejora la efectividad sin cambiar sustancialmente la tarea tradicional de ver un video).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 Plataforma de colaboración en línea para discusión (e.g., Padlet o Google Jamboard)</w:t>
      </w:r>
      <w:r>
        <w:rPr/>
        <w:t xml:space="preserve">Implementación: Tras la pregunta detonadora, los estudiantes escriben sus respuestas o reflexiones en parejas en un muro digital compartido, permitiendo que todo el grupo vea y comente ideas.</w:t>
      </w:r>
      <w:r>
        <w:rPr/>
        <w:t xml:space="preserve">Contribución a objetivos: Facilita la activación de conocimientos previos y el intercambio de ideas, promoviendo participación y pensamiento crítico de manera accesible y visual.</w:t>
      </w:r>
      <w:r>
        <w:rPr/>
        <w:t xml:space="preserve">Nivel SAMR: Sustitución (reemplaza la discusión oral tradicional por un espacio digital para compartir ideas).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 Simuladores interactivos de fuerzas mecánicas (e.g., PhET Interactive Simulations)</w:t>
      </w:r>
      <w:r>
        <w:rPr/>
        <w:t xml:space="preserve">Implementación: Los estudiantes manipulan simuladores que permiten experimentar con fuerzas de fricción, elásticas y centrípetas, ajustando variables como masa, velocidad o coeficiente de fricción para observar efectos.</w:t>
      </w:r>
      <w:r>
        <w:rPr/>
        <w:t xml:space="preserve">Contribución a objetivos: Rediseña la actividad práctica permitiendo que los estudiantes exploren y comprendan dinámicamente los conceptos, fomentando aprendizaje activo y visualización de fenómenos invisibles.</w:t>
      </w:r>
      <w:r>
        <w:rPr/>
        <w:t xml:space="preserve">Nivel SAMR: Modificación (transforma la experiencia práctica tradicional en una exploración interactiva digital).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 Asistente de IA para preguntas y explicaciones (e.g., ChatGPT integrado en plataforma educativa)</w:t>
      </w:r>
      <w:r>
        <w:rPr/>
        <w:t xml:space="preserve">Implementación: Durante la exploración, los estudiantes pueden formular dudas específicas al asistente de IA para obtener explicaciones inmediatas y adaptadas a su nivel, con ejemplos adicionales o aclaraciones.</w:t>
      </w:r>
      <w:r>
        <w:rPr/>
        <w:t xml:space="preserve">Contribución a objetivos: Potencia la comprensión individualizada y el aprendizaje personalizado, apoyando a estudiantes con diferentes ritmos y estilos de aprendizaje.</w:t>
      </w:r>
      <w:r>
        <w:rPr/>
        <w:t xml:space="preserve">Nivel SAMR: Aumento (mejora la comprensión mediante apoyo tecnológico sin cambiar la naturaleza de la tarea).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 Creación de infografías digitales colaborativas (e.g., Canva o Genially)</w:t>
      </w:r>
      <w:r>
        <w:rPr/>
        <w:t xml:space="preserve">Implementación: En grupos, los estudiantes sintetizan lo aprendido creando una infografía digital sobre una fuerza mecánica especial, integrando texto, imágenes y gráficos, y la comparten con la clase.</w:t>
      </w:r>
      <w:r>
        <w:rPr/>
        <w:t xml:space="preserve">Contribución a objetivos: Permite consolidar y comunicar el conocimiento adquirido de forma creativa y colaborativa, desarrollando habilidades de síntesis y presentación.</w:t>
      </w:r>
      <w:r>
        <w:rPr/>
        <w:t xml:space="preserve">Nivel SAMR: Modificación (rediseña la tarea tradicional de resumen escrito en papel a un producto digital colaborativo).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 Encuesta interactiva de autoevaluación con retroalimentación instantánea (e.g., Kahoot! o Google Forms con feedback)</w:t>
      </w:r>
      <w:r>
        <w:rPr/>
        <w:t xml:space="preserve">Implementación: Al final de la sesión, los estudiantes responden una encuesta sobre los conceptos clave y reciben retroalimentación inmediata que les ayuda a identificar áreas para reforzar.</w:t>
      </w:r>
      <w:r>
        <w:rPr/>
        <w:t xml:space="preserve">Contribución a objetivos: Facilita la evaluación formativa y fomenta la reflexión sobre el propio aprendizaje, promoviendo la metacognición.</w:t>
      </w:r>
      <w:r>
        <w:rPr/>
        <w:t xml:space="preserve">Nivel SAMR: Aumento (mejora la evaluación tradicional con retroalimentación automatizada y dinámica).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DD9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D77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55D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E75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FE0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DC6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499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1CB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767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C7E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D14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BD2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431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16A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B3A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4FD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64A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8D6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396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2026-09-26T01:13:15-05:00</dcterms:created>
  <dcterms:modified xsi:type="dcterms:W3CDTF">2026-09-26T01:13:15-05:00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