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Semejanzas: Conexiones Matemáticas y Cotidianas</w:t>
      </w:r>
    </w:p>
    <w:p/>
    <w:p>
      <w:pPr/>
      <w:r>
        <w:rPr>
          <w:color w:val="666666"/>
          <w:sz w:val="20"/>
          <w:szCs w:val="20"/>
          <w:i w:val="1"/>
          <w:iCs w:val="1"/>
        </w:rPr>
        <w:t xml:space="preserve">Matemáticas | Álgebra | Aprendizaje Invertido</w:t>
      </w:r>
    </w:p>
    <w:p/>
    <w:p>
      <w:pPr/>
      <w:r>
        <w:rPr>
          <w:color w:val="2b6cb0"/>
          <w:sz w:val="28"/>
          <w:szCs w:val="28"/>
          <w:b w:val="1"/>
          <w:bCs w:val="1"/>
        </w:rPr>
        <w:t xml:space="preserve">Descripción</w:t>
      </w:r>
    </w:p>
    <w:p>
      <w:pPr/>
      <w:r>
        <w:rPr/>
        <w:t xml:space="preserve">Este plan de clase está diseñado para que los estudiantes de media (15-17 años) comprendan y apliquen el concepto de semejanza en figuras geométricas, profundizando en su relación con las razones, proporciones y el lenguaje algebraico previamente aprendido. A través de la metodología de Aprendizaje Invertido, los estudiantes analizarán videos y lecturas en casa, para luego realizar en clase actividades prácticas que fortalezcan su razonamiento matemático y habilidades para resolver problemas reales. Comprender la semejanza es fundamental para diversas áreas de la matemática y tiene aplicaciones directas en arquitectura, diseño, ciencias y tecnología, lo cual les permitirá conectar el aprendizaje con situaciones cotidianas y profesionales futuras. La exploración de semejanzas también les ayudará a desarrollar competencias de análisis crítico, argumentación matemática y trabajo colaborativo.</w:t>
      </w:r>
    </w:p>
    <w:p/>
    <w:p>
      <w:pPr/>
      <w:r>
        <w:rPr>
          <w:color w:val="2b6cb0"/>
          <w:sz w:val="28"/>
          <w:szCs w:val="28"/>
          <w:b w:val="1"/>
          <w:bCs w:val="1"/>
        </w:rPr>
        <w:t xml:space="preserve">Objetivos de Aprendizaje</w:t>
      </w:r>
    </w:p>
    <w:p>
      <w:pPr>
        <w:numPr>
          <w:ilvl w:val="0"/>
          <w:numId w:val="1"/>
        </w:numPr>
      </w:pPr>
      <w:r>
        <w:rPr/>
        <w:t xml:space="preserve">Analizar las propiedades de las figuras semejantes y determinar sus características mediante el uso de razones y proporciones.</w:t>
      </w:r>
    </w:p>
    <w:p>
      <w:pPr>
        <w:numPr>
          <w:ilvl w:val="0"/>
          <w:numId w:val="1"/>
        </w:numPr>
      </w:pPr>
      <w:r>
        <w:rPr/>
        <w:t xml:space="preserve">Aplicar el lenguaje algebraico para expresar y resolver problemas relacionados con figuras semejantes.</w:t>
      </w:r>
    </w:p>
    <w:p>
      <w:pPr>
        <w:numPr>
          <w:ilvl w:val="0"/>
          <w:numId w:val="1"/>
        </w:numPr>
      </w:pPr>
      <w:r>
        <w:rPr/>
        <w:t xml:space="preserve">Comparar y justificar la semejanza entre triángulos utilizando lados homólogos y ángulos congruentes.</w:t>
      </w:r>
    </w:p>
    <w:p>
      <w:pPr>
        <w:numPr>
          <w:ilvl w:val="0"/>
          <w:numId w:val="1"/>
        </w:numPr>
      </w:pPr>
      <w:r>
        <w:rPr/>
        <w:t xml:space="preserve">Resolver problemas prácticos que involucren la razón de semejanza y el teorema de Pitágoras en contextos reales.</w:t>
      </w:r>
    </w:p>
    <w:p>
      <w:pPr>
        <w:numPr>
          <w:ilvl w:val="0"/>
          <w:numId w:val="1"/>
        </w:numPr>
      </w:pPr>
      <w:r>
        <w:rPr/>
        <w:t xml:space="preserve">Argumentar matemáticamente con base en definiciones y propiedades para validar semejanzas entre figuras geométricas.</w:t>
      </w:r>
    </w:p>
    <w:p/>
    <w:p>
      <w:pPr/>
      <w:r>
        <w:rPr>
          <w:color w:val="2b6cb0"/>
          <w:sz w:val="28"/>
          <w:szCs w:val="28"/>
          <w:b w:val="1"/>
          <w:bCs w:val="1"/>
        </w:rPr>
        <w:t xml:space="preserve">Recursos Necesarios</w:t>
      </w:r>
    </w:p>
    <w:p>
      <w:pPr>
        <w:numPr>
          <w:ilvl w:val="0"/>
          <w:numId w:val="2"/>
        </w:numPr>
      </w:pPr>
      <w:r>
        <w:rPr/>
        <w:t xml:space="preserve">Material impreso: hojas de trabajo con ejercicios de semejanza y problemas aplicados (una por estudiante).</w:t>
      </w:r>
    </w:p>
    <w:p>
      <w:pPr>
        <w:numPr>
          <w:ilvl w:val="0"/>
          <w:numId w:val="2"/>
        </w:numPr>
      </w:pPr>
      <w:r>
        <w:rPr/>
        <w:t xml:space="preserve">Videos educativos sobre semejanza y razones de semejanza (2 videos de 10 minutos cada uno, disponibles en YouTube o plataforma educativa).</w:t>
      </w:r>
    </w:p>
    <w:p>
      <w:pPr>
        <w:numPr>
          <w:ilvl w:val="0"/>
          <w:numId w:val="2"/>
        </w:numPr>
      </w:pPr>
      <w:r>
        <w:rPr/>
        <w:t xml:space="preserve">Proyector y equipo de audio para presentación de videos y material visual.</w:t>
      </w:r>
    </w:p>
    <w:p>
      <w:pPr>
        <w:numPr>
          <w:ilvl w:val="0"/>
          <w:numId w:val="2"/>
        </w:numPr>
      </w:pPr>
      <w:r>
        <w:rPr/>
        <w:t xml:space="preserve">Calculadoras científicas (una por cada 2 estudiantes).</w:t>
      </w:r>
    </w:p>
    <w:p>
      <w:pPr>
        <w:numPr>
          <w:ilvl w:val="0"/>
          <w:numId w:val="2"/>
        </w:numPr>
      </w:pPr>
      <w:r>
        <w:rPr/>
        <w:t xml:space="preserve">Reglas, transportadores y compases (al menos 1 juego por grupo de 4 estudiantes).</w:t>
      </w:r>
    </w:p>
    <w:p>
      <w:pPr>
        <w:numPr>
          <w:ilvl w:val="0"/>
          <w:numId w:val="2"/>
        </w:numPr>
      </w:pPr>
      <w:r>
        <w:rPr/>
        <w:t xml:space="preserve">Pizarras blancas y marcadores para trabajo colaborativo en grupo.</w:t>
      </w:r>
    </w:p>
    <w:p>
      <w:pPr>
        <w:numPr>
          <w:ilvl w:val="0"/>
          <w:numId w:val="2"/>
        </w:numPr>
      </w:pPr>
      <w:r>
        <w:rPr/>
        <w:t xml:space="preserve">Cuadernos o carpetas para anotaciones y registro de actividades.</w:t>
      </w:r>
    </w:p>
    <w:p>
      <w:pPr>
        <w:numPr>
          <w:ilvl w:val="0"/>
          <w:numId w:val="2"/>
        </w:numPr>
      </w:pPr>
      <w:r>
        <w:rPr/>
        <w:t xml:space="preserve">Software o app de geometría dinámica (GeoGebra) para exploración virtual de figuras semejantes (opcional).</w:t>
      </w:r>
    </w:p>
    <w:p/>
    <w:p>
      <w:pPr/>
      <w:r>
        <w:rPr>
          <w:color w:val="2b6cb0"/>
          <w:sz w:val="28"/>
          <w:szCs w:val="28"/>
          <w:b w:val="1"/>
          <w:bCs w:val="1"/>
        </w:rPr>
        <w:t xml:space="preserve">Requisitos Previos</w:t>
      </w:r>
    </w:p>
    <w:p>
      <w:pPr>
        <w:numPr>
          <w:ilvl w:val="0"/>
          <w:numId w:val="3"/>
        </w:numPr>
      </w:pPr>
      <w:r>
        <w:rPr/>
        <w:t xml:space="preserve">Conocimiento del teorema de Pitágoras y su aplicación en triángulos rectángulos.</w:t>
      </w:r>
    </w:p>
    <w:p>
      <w:pPr>
        <w:numPr>
          <w:ilvl w:val="0"/>
          <w:numId w:val="3"/>
        </w:numPr>
      </w:pPr>
      <w:r>
        <w:rPr/>
        <w:t xml:space="preserve">Comprensión de razones y proporciones básicas.</w:t>
      </w:r>
    </w:p>
    <w:p>
      <w:pPr>
        <w:numPr>
          <w:ilvl w:val="0"/>
          <w:numId w:val="3"/>
        </w:numPr>
      </w:pPr>
      <w:r>
        <w:rPr/>
        <w:t xml:space="preserve">Manejo previo del lenguaje algebraico con variables como alfa, beta, gama.</w:t>
      </w:r>
    </w:p>
    <w:p>
      <w:pPr>
        <w:numPr>
          <w:ilvl w:val="0"/>
          <w:numId w:val="3"/>
        </w:numPr>
      </w:pPr>
      <w:r>
        <w:rPr/>
        <w:t xml:space="preserve">Conceptos básicos de ángulos (ángulo recto, ángulos congruentes) y terminología geométrica (lados homólogos, congruencia).</w:t>
      </w:r>
    </w:p>
    <w:p>
      <w:pPr>
        <w:numPr>
          <w:ilvl w:val="0"/>
          <w:numId w:val="3"/>
        </w:numPr>
      </w:pPr>
      <w:r>
        <w:rPr/>
        <w:t xml:space="preserve">Habilidades básicas para trabajar en equipo y participar en actividades colaborativas.</w:t>
      </w:r>
    </w:p>
    <w:p/>
    <w:p>
      <w:pPr/>
      <w:r>
        <w:rPr>
          <w:color w:val="2b6cb0"/>
          <w:sz w:val="28"/>
          <w:szCs w:val="28"/>
          <w:b w:val="1"/>
          <w:bCs w:val="1"/>
        </w:rPr>
        <w:t xml:space="preserve">Actividades</w:t>
      </w:r>
    </w:p>
    <w:p>
      <w:pPr/>
      <w:r>
        <w:rPr/>
        <w:t xml:space="preserve">Sesión 1: Introducción a las Semejanzas y sus Propiedades
Fase de Inicio
Tiempo estimado: 15 minutos
Propósito de la sesión:
Conectar el conocimiento previo de razones, proporciones y el teorema de Pitágoras para introducir el concepto de semejanza y su relevancia en geometría.
Activación de conocimientos previos:
Docente: Presenta un triángulo rectángulo en la pizarra y pregunta: "¿Cómo podemos calcular la longitud de un lado si conocemos otros dos lados?"
Estudiantes: Responden recordando el teorema de Pitágoras y discuten brevemente en parejas.
Docente: Luego pregunta: "Si tenemos dos triángulos que parecen iguales pero de diferente tamaño, ¿qué características comparten?"
Estudiantes: Comparten ideas en plenaria.
Motivación y enganche:
Docente: Muestra imágenes de edificios y objetos cotidianos que mantienen proporciones similares (ejemplo: edificios famosos y maquetas). Explica que entender semejanza ayuda a diseñar y construir correctamente.
Estudiantes: Observan y comentan cómo se relacionan las imágenes con la matemática.
Contextualización:
Docente: Explica que la semejanza es un concepto que usaremos para estudiar cómo figuras diferentes pueden ser "proporcionalmente iguales" y que esto tiene aplicación en la vida diaria, desde el diseño hasta la ingeniería.
Fase de Desarrollo
Tiempo estimado: 95 minutos
Presentación del contenido:
Docente: Indica que los alumnos ya han estudiado previamente videos y lecturas sobre semejanza en casa. Se inicia con una breve aclaración y revisión guiada de estos materiales, enfatizando definiciones clave como lados homólogos, ángulos congruentes y razón de semejanza.
Actividad 1: Análisis de figuras semejantes
Objetivo: Analizar propiedades de figuras semejantes y comparar lados y ángulos.
Instrucciones: En grupos de 3-4 estudiantes, analicen dos triángulos dados en hojas de trabajo donde están marcados lados y ángulos. Identifiquen lados homólogos y ángulos congruentes, y calculen la razón de semejanza.
Organización: Grupal (3-4 estudiantes).
Producto: Registro en hoja de trabajo con identificación y cálculos.
Tiempo: 30 minutos.
Rol docente: Circula entre grupos, plantea preguntas como: "¿Cómo saben que estos ángulos son congruentes?" y "¿Qué relación existe entre estos lados?"
Actividad 2: Expresando semejanza con lenguaje algebraico
Objetivo: Aplicar lenguaje algebraico para expresar relaciones de semejanza.
Instrucciones: Cada grupo recibe un conjunto de ejercicios para escribir ecuaciones que representen la razón de semejanza entre los lados homólogos usando variables alfa, beta, y gamma.
Organización: Parejas.
Producto: Ejercicios resueltos en cuaderno o hoja.
Tiempo: 35 minutos.
Rol docente: Orienta la correcta formulación de ecuaciones, pregunta: "¿Qué significa esta variable en el contexto del triángulo?" y corrige errores conceptuales.
Actividad 3: Resolviendo problemas prácticos con semejanza
Objetivo: Resolver problemas aplicando semejanza y el teorema de Pitágoras.
Instrucciones: En grupos, resuelvan problemas que involucren cálculo de longitudes en triángulos semejantes, incluyendo uso de teorema de Pitágoras.
Organización: Grupos de 4 estudiantes.
Producto: Problemas resueltos con explicación escrita del procedimiento.
Tiempo: 30 minutos.
Rol docente: Facilita la discusión, guía el uso adecuado del teorema y verifica comprensión.
Diferenciación:
Para estudiantes que terminan antes: Proponer que creen un problema original de semejanza para sus compañeros.
Para estudiantes que necesitan más apoyo: Trabajar en grupos pequeños con guía paso a paso y uso de recursos visuales adicionales.
Transición:
El docente conecta la sesión con la siguiente señalando que en la próxima sesión profundizarán en demostraciones y propiedades formales de semejanza, preparando para aplicar estos conceptos en contextos más complejos.
Fase de Cierre
Tiempo estimado: 10 minutos
Síntesis:
Realizan un mapa mental en la pizarra con las propiedades y conceptos clave revisados sobre semejanza (lados homólogos, ángulos congruentes, razón de semejanza).
Reflexión metacognitiva:
¿Cómo podemos identificar que dos figuras son semejantes?
¿Por qué es importante conocer la razón de semejanza en problemas geométricos?
¿Cómo relacionamos el teorema de Pitágoras con la semejanza?
Retroalimentación:
El docente comenta los mapas mentales, aclara dudas y felicita la participación activa, resalta puntos fuertes y corrige conceptos erróneos de forma constructiva.
Transferencia y tarea:
Se asigna como tarea revisar nuevamente los videos y preparar un breve resumen con ejemplos de semejanza en su entorno cotidiano, para presentar en la siguiente sesión.
Sesión 2: Profundización en Propiedades y Demostraciones de Semejanza
Fase de Inicio
Tiempo estimado: 10 minutos
Propósito de la sesión:
Revisar la tarea y conectar con las propiedades formales de semejanza para iniciar demostraciones y aplicaciones avanzadas.
Activación de conocimientos previos:
Docente: Solicita compartir ejemplos personales encontrados en la tarea y pregunta: "¿Qué características comunes presentan todas estas figuras?"
Estudiantes: Presentan y discuten en plenaria.
Motivación y enganche:
Docente: Presenta un reto: "Demostrar que dos triángulos son semejantes usando ángulos y lados homólogos."
Estudiantes: Se organizan mentalmente para abordar la demostración.
Contextualización:
Docente: Explica que las demostraciones son fundamentales para validar propiedades y que el dominio de estas permitirá resolver problemas matemáticos complejos y situaciones reales.
Fase de Desarrollo
Tiempo estimado: 100 minutos
Actividad 1: Demostrando semejanza por ángulos congruentes
Objetivo: Argumentar la semejanza de triángulos usando ángulos congruentes.
Instrucciones: En parejas, analicen dos triángulos con ángulos marcados y elaboren una demostración escrita usando lenguaje algebraico y propiedades geométricas.
Organización: Parejas.
Producto: Demostración escrita y presentación breve al grupo.
Tiempo: 40 minutos.
Rol docente: Facilita preguntas: "¿Cómo identifican los ángulos homólogos?", "¿Qué igualdades usan para concluir semejanza?".
Actividad 2: Demostración usando lados homólogos y razón de semejanza
Objetivo: Comparar y justificar semejanza a partir de proporciones entre lados homólogos.
Instrucciones: En grupos de 4, resuelvan ejercicios donde deben calcular razones entre lados homólogos y concluir la semejanza, explicando el procedimiento.
Organización: Grupos de 4.
Producto: Ejercicios resueltos con explicación escrita.
Tiempo: 40 minutos.
Rol docente: Supervisa, orienta el uso correcto de proporciones y hace preguntas guía.
Actividad 3: Exploración virtual con GeoGebra (opcional)
Objetivo: Visualizar y manipular figuras semejantes para reforzar propiedades.
Instrucciones: En parejas, utilizan computadoras o tablets para explorar figuras en GeoGebra, modificando tamaños y observando propiedades invariantes.
Organización: Parejas.
Producto: Capturas de pantalla o anotaciones de observaciones.
Tiempo: 20 minutos.
Rol docente: Apoya en el manejo de la herramienta y fomenta preguntas exploratorias.
Diferenciación:
Estudiantes avanzados pueden preparar una demostración alternativa o más formal para compartir.
Estudiantes con dificultades reciben apoyo adicional con ejemplos concretos y explicaciones visuales.
Transición:
El docente conecta esta sesión con la siguiente, donde aplicarán lo aprendido en problemas complejos y harán una síntesis para consolidar el conocimiento.
Fase de Cierre
Tiempo estimado: 10 minutos
Síntesis:
Elaboran un cuadro comparativo en la pizarra con criterios para determinar semejanza (por ángulos, por lados proporcionales).
Reflexión metacognitiva:
¿Qué criterios nos permiten asegurar que dos figuras son semejantes?
¿Cómo usamos el lenguaje algebraico para expresar semejanza?
¿Qué dificultades encontraste al realizar las demostraciones?
Retroalimentación:
El docente corrige y complementa el cuadro comparativo, resaltando puntos clave y aclarando dudas.
Transferencia y tarea:
Preparar un problema propio que involucre semejanza para resolver en la siguiente sesión, explicando paso a paso la solución.
Sesión 3: Aplicación y Síntesis de Conceptos de Semejanza
Fase de Inicio
Tiempo estimado: 10 minutos
Propósito de la sesión:
Revisar tareas y preparar a los estudiantes para aplicar y sintetizar conocimientos de semejanza en problemas complejos.
Activación de conocimientos previos:
Docente: Solicita que algunos estudiantes compartan sus problemas creados y expliquen soluciones.
Estudiantes: Presentan y reciben comentarios del grupo.
Motivación y enganche:
Docente: Presenta una situación real (por ejemplo, diseño de un puente o modelo arquitectónico) que requiere aplicar semejanza para resolver.
Estudiantes: Discuten posibles aplicaciones y relevancia.
Fase de Desarrollo
Tiempo estimado: 100 minutos
Actividad 1: Resolución de problemas complejos en equipo
Objetivo: Aplicar todos los conocimientos adquiridos para resolver problemas con figuras semejantes.
Instrucciones: En grupos de 4, resuelvan un conjunto de problemas que involucren desde identificación de semejanza hasta cálculo de dimensiones y uso de teorema de Pitágoras.
Organización: Grupos de 4.
Producto: Informe escrito con solución detallada y presentación oral breve.
Tiempo: 60 minutos.
Rol docente: Supervisa, plantea preguntas para profundizar razonamiento y da retroalimentación inmediata.
Actividad 2: Debate y argumentación matemática
Objetivo: Argumentar y justificar la semejanza y soluciones encontradas.
Instrucciones: Cada grupo presenta su solución y recibe preguntas de otros grupos, defendiendo sus procedimientos y conclusiones.
Organización: Plenaria.
Producto: Argumentaciones orales y escritas.
Tiempo: 30 minutos.
Rol docente: Modera el debate, fomenta respeto y profundización conceptual.
Diferenciación:
Grupos con estudiantes avanzados pueden incluir problemas más complejos o con variables adicionales.
Grupos con estudiantes que requieren apoyo reciben guía adicional y ejemplos claros.
Transición:
El docente introduce la fase de cierre para consolidar y reflexionar sobre el aprendizaje.
Fase de Cierre
Tiempo estimado: 10 minutos
Síntesis:
Realizan un ticket de salida respondiendo en una tarjeta: "Describe en tus propias palabras qué es la semejanza y por qué es útil."
Reflexión metacognitiva:
¿Cuál fue el reto más grande al aplicar la semejanza en problemas?
¿Cómo cambió tu forma de pensar sobre las figuras geométricas después de estas sesiones?
¿En qué situaciones fuera del aula crees que puedes aplicar lo aprendido?
Retroalimentación:
El docente recoge los tickets, comenta en conjunto algunos ejemplos, felicita el esfuerzo y destaca la importancia del aprendizaje adquirido.
Transferencia y cierre:
Se anima a los estudiantes a observar su entorno para identificar figuras semejantes y pensar en aplicaciones futuras.
Tarea / reto:
Investigar otro concepto matemático relacionado con semejanza o proporciones y preparar una breve presentación para compartir en próximas clases.</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Sesión 1, fase de inicio (activación de conocimientos previos sobre teorema de Pitágoras y proporciones).</w:t>
      </w:r>
    </w:p>
    <w:p>
      <w:pPr>
        <w:numPr>
          <w:ilvl w:val="0"/>
          <w:numId w:val="4"/>
        </w:numPr>
      </w:pPr>
      <w:r>
        <w:rPr>
          <w:b w:val="1"/>
          <w:bCs w:val="1"/>
        </w:rPr>
        <w:t xml:space="preserve">Formativa:</w:t>
      </w:r>
      <w:r>
        <w:rPr/>
        <w:t xml:space="preserve"> Durante las actividades prácticas en las sesiones 1, 2 y 3 mediante observación, preguntas guía, revisión de productos escritos y exposiciones orales.</w:t>
      </w:r>
    </w:p>
    <w:p>
      <w:pPr>
        <w:numPr>
          <w:ilvl w:val="0"/>
          <w:numId w:val="4"/>
        </w:numPr>
      </w:pPr>
      <w:r>
        <w:rPr>
          <w:b w:val="1"/>
          <w:bCs w:val="1"/>
        </w:rPr>
        <w:t xml:space="preserve">Sumativa:</w:t>
      </w:r>
      <w:r>
        <w:rPr/>
        <w:t xml:space="preserve"> Última sesión, evaluación del informe y presentación grupal, así como el ticket de salida.</w:t>
      </w:r>
    </w:p>
    <w:p>
      <w:pPr/>
      <w:r>
        <w:rPr>
          <w:b w:val="1"/>
          <w:bCs w:val="1"/>
        </w:rPr>
        <w:t xml:space="preserve">Criterios de evaluación:</w:t>
      </w:r>
    </w:p>
    <w:p>
      <w:pPr>
        <w:numPr>
          <w:ilvl w:val="0"/>
          <w:numId w:val="5"/>
        </w:numPr>
      </w:pPr>
      <w:r>
        <w:rPr/>
        <w:t xml:space="preserve">Identifica correctamente lados homólogos y ángulos congruentes para determinar figuras semejantes (objetivo 1).</w:t>
      </w:r>
    </w:p>
    <w:p>
      <w:pPr>
        <w:numPr>
          <w:ilvl w:val="0"/>
          <w:numId w:val="5"/>
        </w:numPr>
      </w:pPr>
      <w:r>
        <w:rPr/>
        <w:t xml:space="preserve">Aplica adecuadamente el lenguaje algebraico para expresar relaciones de semejanza (objetivo 2).</w:t>
      </w:r>
    </w:p>
    <w:p>
      <w:pPr>
        <w:numPr>
          <w:ilvl w:val="0"/>
          <w:numId w:val="5"/>
        </w:numPr>
      </w:pPr>
      <w:r>
        <w:rPr/>
        <w:t xml:space="preserve">Justifica la semejanza entre triángulos utilizando propiedades geométricas y proporciones (objetivo 3).</w:t>
      </w:r>
    </w:p>
    <w:p>
      <w:pPr>
        <w:numPr>
          <w:ilvl w:val="0"/>
          <w:numId w:val="5"/>
        </w:numPr>
      </w:pPr>
      <w:r>
        <w:rPr/>
        <w:t xml:space="preserve">Resuelve problemas prácticos con precisión utilizando semejanza y teorema de Pitágoras (objetivo 4).</w:t>
      </w:r>
    </w:p>
    <w:p>
      <w:pPr>
        <w:numPr>
          <w:ilvl w:val="0"/>
          <w:numId w:val="5"/>
        </w:numPr>
      </w:pPr>
      <w:r>
        <w:rPr/>
        <w:t xml:space="preserve">Argumenta matemáticamente sus soluciones y razonamientos de forma clara y coherente (objetivo 5).</w:t>
      </w:r>
    </w:p>
    <w:p>
      <w:pPr/>
      <w:r>
        <w:rPr>
          <w:b w:val="1"/>
          <w:bCs w:val="1"/>
        </w:rPr>
        <w:t xml:space="preserve">Instrumentos sugeridos:</w:t>
      </w:r>
    </w:p>
    <w:p>
      <w:pPr>
        <w:numPr>
          <w:ilvl w:val="0"/>
          <w:numId w:val="6"/>
        </w:numPr>
      </w:pPr>
      <w:r>
        <w:rPr/>
        <w:t xml:space="preserve">Lista de cotejo para participación y trabajo en equipo.</w:t>
      </w:r>
    </w:p>
    <w:p>
      <w:pPr>
        <w:numPr>
          <w:ilvl w:val="0"/>
          <w:numId w:val="6"/>
        </w:numPr>
      </w:pPr>
      <w:r>
        <w:rPr/>
        <w:t xml:space="preserve">Rúbrica para evaluar informes escritos y presentaciones orales.</w:t>
      </w:r>
    </w:p>
    <w:p>
      <w:pPr>
        <w:numPr>
          <w:ilvl w:val="0"/>
          <w:numId w:val="6"/>
        </w:numPr>
      </w:pPr>
      <w:r>
        <w:rPr/>
        <w:t xml:space="preserve">Observación directa durante actividades y debates.</w:t>
      </w:r>
    </w:p>
    <w:p>
      <w:pPr>
        <w:numPr>
          <w:ilvl w:val="0"/>
          <w:numId w:val="6"/>
        </w:numPr>
      </w:pPr>
      <w:r>
        <w:rPr/>
        <w:t xml:space="preserve">Autoevaluación y coevaluación al final de las sesiones.</w:t>
      </w:r>
    </w:p>
    <w:p>
      <w:pPr/>
      <w:r>
        <w:rPr>
          <w:b w:val="1"/>
          <w:bCs w:val="1"/>
        </w:rPr>
        <w:t xml:space="preserve">Evidencias de aprendizaje:</w:t>
      </w:r>
    </w:p>
    <w:p>
      <w:pPr>
        <w:numPr>
          <w:ilvl w:val="0"/>
          <w:numId w:val="7"/>
        </w:numPr>
      </w:pPr>
      <w:r>
        <w:rPr/>
        <w:t xml:space="preserve">Hojas de trabajo con análisis de figuras y cálculos de razones de semejanza.</w:t>
      </w:r>
    </w:p>
    <w:p>
      <w:pPr>
        <w:numPr>
          <w:ilvl w:val="0"/>
          <w:numId w:val="7"/>
        </w:numPr>
      </w:pPr>
      <w:r>
        <w:rPr/>
        <w:t xml:space="preserve">Ejercicios escritos con lenguaje algebraico aplicado.</w:t>
      </w:r>
    </w:p>
    <w:p>
      <w:pPr>
        <w:numPr>
          <w:ilvl w:val="0"/>
          <w:numId w:val="7"/>
        </w:numPr>
      </w:pPr>
      <w:r>
        <w:rPr/>
        <w:t xml:space="preserve">Demostraciones y soluciones de problemas presentados oralmente y por escrito.</w:t>
      </w:r>
    </w:p>
    <w:p>
      <w:pPr>
        <w:numPr>
          <w:ilvl w:val="0"/>
          <w:numId w:val="7"/>
        </w:numPr>
      </w:pPr>
      <w:r>
        <w:rPr/>
        <w:t xml:space="preserve">Participación en debates y actividades colaborativas.</w:t>
      </w:r>
    </w:p>
    <w:p>
      <w:pPr>
        <w:numPr>
          <w:ilvl w:val="0"/>
          <w:numId w:val="7"/>
        </w:numPr>
      </w:pPr>
      <w:r>
        <w:rPr/>
        <w:t xml:space="preserve">Tickets de salida que reflejan síntesis y reflexión.</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"Mapa Mental Rápido de Conceptos Clave"</w:t>
      </w:r>
    </w:p>
    <w:p>
      <w:pPr/>
      <w:r>
        <w:rPr>
          <w:b w:val="1"/>
          <w:bCs w:val="1"/>
        </w:rPr>
        <w:t xml:space="preserve">Duración:</w:t>
      </w:r>
      <w:r>
        <w:rPr/>
        <w:t xml:space="preserve"> 8 minutos</w:t>
      </w:r>
    </w:p>
    <w:p>
      <w:pPr/>
      <w:r>
        <w:rPr>
          <w:b w:val="1"/>
          <w:bCs w:val="1"/>
        </w:rPr>
        <w:t xml:space="preserve">Objetivo:</w:t>
      </w:r>
      <w:r>
        <w:rPr/>
        <w:t xml:space="preserve"> Activar y conectar los conocimientos previos fundamentales para el estudio de las semejanzas, asegurando que los estudiantes recuerden y comprendan términos y conceptos esenciales como el teorema de Pitágoras, razones y proporciones, lenguaje algebraico relacionado, ángulos y lados homologados, y la razón de semejanza.</w:t>
      </w:r>
    </w:p>
    <w:p>
      <w:pPr/>
      <w:r>
        <w:rPr>
          <w:b w:val="1"/>
          <w:bCs w:val="1"/>
        </w:rPr>
        <w:t xml:space="preserve">Desarrollo de la actividad:</w:t>
      </w:r>
    </w:p>
    <w:p>
      <w:pPr>
        <w:numPr>
          <w:ilvl w:val="0"/>
          <w:numId w:val="8"/>
        </w:numPr>
      </w:pPr>
      <w:r>
        <w:rPr>
          <w:b w:val="1"/>
          <w:bCs w:val="1"/>
        </w:rPr>
        <w:t xml:space="preserve">Materiales:</w:t>
      </w:r>
      <w:r>
        <w:rPr/>
        <w:t xml:space="preserve"> Pizarra, marcadores o rotafolio, hojas y lápices para los estudiantes.</w:t>
      </w:r>
    </w:p>
    <w:p>
      <w:pPr>
        <w:numPr>
          <w:ilvl w:val="0"/>
          <w:numId w:val="8"/>
        </w:numPr>
      </w:pPr>
      <w:r>
        <w:rPr/>
        <w:t xml:space="preserve">Al inicio de la clase, el docente escribe en el centro de la pizarra o rotafolio la palabra </w:t>
      </w:r>
      <w:r>
        <w:rPr>
          <w:i w:val="1"/>
          <w:iCs w:val="1"/>
        </w:rPr>
        <w:t xml:space="preserve">"Semejanzas"</w:t>
      </w:r>
      <w:r>
        <w:rPr/>
        <w:t xml:space="preserve">.</w:t>
      </w:r>
    </w:p>
    <w:p>
      <w:pPr>
        <w:numPr>
          <w:ilvl w:val="0"/>
          <w:numId w:val="8"/>
        </w:numPr>
      </w:pPr>
      <w:r>
        <w:rPr/>
        <w:t xml:space="preserve">Se invita a los estudiantes a, en un tiempo limitado (5 minutos), aportar palabras o conceptos que recuerden y que estén relacionados con "Semejanzas" y los objetivos previos (por ejemplo: teorema de Pitágoras, ángulo recto, proporción, lados homologos, ángulos congruentes, alfa, beta, etc.).</w:t>
      </w:r>
    </w:p>
    <w:p>
      <w:pPr>
        <w:numPr>
          <w:ilvl w:val="0"/>
          <w:numId w:val="8"/>
        </w:numPr>
      </w:pPr>
      <w:r>
        <w:rPr/>
        <w:t xml:space="preserve">El docente va anotando estas palabras alrededor del término central, formando un mapa mental colectivo visible para todos.</w:t>
      </w:r>
    </w:p>
    <w:p>
      <w:pPr>
        <w:numPr>
          <w:ilvl w:val="0"/>
          <w:numId w:val="8"/>
        </w:numPr>
      </w:pPr>
      <w:r>
        <w:rPr/>
        <w:t xml:space="preserve">Al terminar, se realiza una breve puesta en común (3 minutos) donde el docente explica o aclara rápidamente la relación de los conceptos aportados con el tema de las semejanzas, reforzando su importancia para el aprendizaje que se desarrollará en las sesiones siguientes.</w:t>
      </w:r>
    </w:p>
    <w:p>
      <w:pPr/>
      <w:r>
        <w:rPr>
          <w:b w:val="1"/>
          <w:bCs w:val="1"/>
        </w:rPr>
        <w:t xml:space="preserve">Justificación:</w:t>
      </w:r>
      <w:r>
        <w:rPr/>
        <w:t xml:space="preserve"> Esta dinámica breve y participativa conecta conocimientos previos, favorece la participación activa y prepara cognitivamente a los estudiantes para el aprendizaje invertido, al identificar y reforzar conceptos clave que necesitarán para profundizar en semejanzas.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integrar gamificación en la fase de desarrollo del plan "Explorando las Semejanzas: Conexiones Matemáticas y Cotidianas" manteniendo la motivación y el enfoque en los objetivos, propongo las siguientes mecánicas de juego adaptadas a estudiantes de media (15-17 años):</w:t>
      </w:r>
    </w:p>
    <w:p>
      <w:pPr>
        <w:numPr>
          <w:ilvl w:val="0"/>
          <w:numId w:val="9"/>
        </w:numPr>
      </w:pPr>
      <w:r>
        <w:rPr>
          <w:b w:val="1"/>
          <w:bCs w:val="1"/>
        </w:rPr>
        <w:t xml:space="preserve">1. Reto de Equipos: "La Carrera de las Semejanzas"</w:t>
      </w:r>
      <w:r>
        <w:rPr/>
        <w:t xml:space="preserve">Los estudiantes se organizan en equipos (3-4 integrantes). Cada equipo recibe una serie de problemas o mini-desafíos relacionados con los conceptos clave (teorema de Pitágoras, razones y proporciones, ángulos, lados homólogos, razón de semejanza).</w:t>
      </w:r>
      <w:r>
        <w:rPr>
          <w:i w:val="1"/>
          <w:iCs w:val="1"/>
        </w:rPr>
        <w:t xml:space="preserve">Mecánica:</w:t>
      </w:r>
      <w:r>
        <w:rPr/>
        <w:t xml:space="preserve"> Por cada problema resuelto correctamente, el equipo avanza en un tablero virtual o físico que representa una carrera. Se pueden incluir "casillas especiales" con preguntas rápidas para ganar puntos extra.</w:t>
      </w:r>
      <w:r>
        <w:rPr>
          <w:i w:val="1"/>
          <w:iCs w:val="1"/>
        </w:rPr>
        <w:t xml:space="preserve">Beneficios:</w:t>
      </w:r>
      <w:r>
        <w:rPr/>
        <w:t xml:space="preserve"> Refuerza el trabajo colaborativo, la aplicación práctica de conceptos y la competencia sana.</w:t>
      </w:r>
    </w:p>
    <w:p>
      <w:pPr>
        <w:numPr>
          <w:ilvl w:val="0"/>
          <w:numId w:val="9"/>
        </w:numPr>
      </w:pPr>
      <w:r>
        <w:rPr>
          <w:b w:val="1"/>
          <w:bCs w:val="1"/>
        </w:rPr>
        <w:t xml:space="preserve">2. Juego de Cartas "SemejaQuiz"</w:t>
      </w:r>
      <w:r>
        <w:rPr/>
        <w:t xml:space="preserve">Crear una baraja de tarjetas con preguntas, definiciones, y problemas breves relacionados con los términos clave (alfa, beta, gama, ángulos congruentes, lados homologos, etc.).</w:t>
      </w:r>
      <w:r>
        <w:rPr>
          <w:i w:val="1"/>
          <w:iCs w:val="1"/>
        </w:rPr>
        <w:t xml:space="preserve">Mecánica:</w:t>
      </w:r>
      <w:r>
        <w:rPr/>
        <w:t xml:space="preserve"> En grupos pequeños, los estudiantes toman turnos para responder la tarjeta que les toca. Respuestas correctas les otorgan puntos y la posibilidad de "robar" cartas adicionales para acumular más puntos.</w:t>
      </w:r>
      <w:r>
        <w:rPr>
          <w:i w:val="1"/>
          <w:iCs w:val="1"/>
        </w:rPr>
        <w:t xml:space="preserve">Beneficios:</w:t>
      </w:r>
      <w:r>
        <w:rPr/>
        <w:t xml:space="preserve"> Favorece la memorización y comprensión rápida de conceptos claves en un ambiente dinámico.</w:t>
      </w:r>
    </w:p>
    <w:p>
      <w:pPr>
        <w:numPr>
          <w:ilvl w:val="0"/>
          <w:numId w:val="9"/>
        </w:numPr>
      </w:pPr>
      <w:r>
        <w:rPr>
          <w:b w:val="1"/>
          <w:bCs w:val="1"/>
        </w:rPr>
        <w:t xml:space="preserve">3. "Escape Room Matemático: Semejanzas en Acción"</w:t>
      </w:r>
      <w:r>
        <w:rPr/>
        <w:t xml:space="preserve">Diseñar una pequeña actividad tipo “Escape Room” donde los estudiantes deben resolver una serie de acertijos y problemas relacionados con semejanzas para “escapar” o desbloquear un código.</w:t>
      </w:r>
      <w:r>
        <w:rPr>
          <w:i w:val="1"/>
          <w:iCs w:val="1"/>
        </w:rPr>
        <w:t xml:space="preserve">Mecánica:</w:t>
      </w:r>
      <w:r>
        <w:rPr/>
        <w:t xml:space="preserve"> Divididos en equipos, deben aplicar teorema de Pitágoras, razones y proporciones, identificar ángulos congruentes y lados homologos, y calcular razón de semejanza para avanzar entre etapas.</w:t>
      </w:r>
      <w:r>
        <w:rPr>
          <w:i w:val="1"/>
          <w:iCs w:val="1"/>
        </w:rPr>
        <w:t xml:space="preserve">Beneficios:</w:t>
      </w:r>
      <w:r>
        <w:rPr/>
        <w:t xml:space="preserve"> Estimula el pensamiento crítico, la colaboración y la aplicación integrada de los conceptos.</w:t>
      </w:r>
    </w:p>
    <w:p>
      <w:pPr>
        <w:numPr>
          <w:ilvl w:val="0"/>
          <w:numId w:val="9"/>
        </w:numPr>
      </w:pPr>
      <w:r>
        <w:rPr>
          <w:b w:val="1"/>
          <w:bCs w:val="1"/>
        </w:rPr>
        <w:t xml:space="preserve">4. Sistema de Puntos y Recompensas</w:t>
      </w:r>
      <w:r>
        <w:rPr/>
        <w:t xml:space="preserve">Asignar puntos individuales y por equipo durante toda la fase de desarrollo por participación, respuestas acertadas, y colaboración efectiva.</w:t>
      </w:r>
      <w:r>
        <w:rPr>
          <w:i w:val="1"/>
          <w:iCs w:val="1"/>
        </w:rPr>
        <w:t xml:space="preserve">Recompensas:</w:t>
      </w:r>
      <w:r>
        <w:rPr/>
        <w:t xml:space="preserve"> Insignias digitales (por ejemplo, “Maestro de Razones”, “Ángulo Perfecto”), privilegios en clase (como elegir el siguiente problema para resolver), o reconocimientos simbólicos.</w:t>
      </w:r>
      <w:r>
        <w:rPr>
          <w:i w:val="1"/>
          <w:iCs w:val="1"/>
        </w:rPr>
        <w:t xml:space="preserve">Beneficios:</w:t>
      </w:r>
      <w:r>
        <w:rPr/>
        <w:t xml:space="preserve"> Mantiene la motivación constante e incentiva la participación activa.</w:t>
      </w:r>
    </w:p>
    <w:p>
      <w:pPr>
        <w:numPr>
          <w:ilvl w:val="0"/>
          <w:numId w:val="9"/>
        </w:numPr>
      </w:pPr>
      <w:r>
        <w:rPr>
          <w:b w:val="1"/>
          <w:bCs w:val="1"/>
        </w:rPr>
        <w:t xml:space="preserve">5. Desafío de Construcción Geométrica Digital</w:t>
      </w:r>
      <w:r>
        <w:rPr/>
        <w:t xml:space="preserve">Utilizar aplicaciones o plataformas online (GeoGebra, por ejemplo) para que los estudiantes creen figuras semejantes aplicando los conceptos aprendidos.</w:t>
      </w:r>
      <w:r>
        <w:rPr>
          <w:i w:val="1"/>
          <w:iCs w:val="1"/>
        </w:rPr>
        <w:t xml:space="preserve">Mecánica:</w:t>
      </w:r>
      <w:r>
        <w:rPr/>
        <w:t xml:space="preserve"> Proponer retos con niveles de dificultad creciente donde deben construir triángulos o polígonos con lados homologos y ángulos congruentes, demostrando la razón de semejanza.</w:t>
      </w:r>
      <w:r>
        <w:rPr>
          <w:i w:val="1"/>
          <w:iCs w:val="1"/>
        </w:rPr>
        <w:t xml:space="preserve">Beneficios:</w:t>
      </w:r>
      <w:r>
        <w:rPr/>
        <w:t xml:space="preserve"> Refuerza el aprendizaje visual y práctico, integrando tecnología de forma lúdica.</w:t>
      </w:r>
    </w:p>
    <w:p>
      <w:pPr/>
      <w:r>
        <w:rPr>
          <w:b w:val="1"/>
          <w:bCs w:val="1"/>
        </w:rPr>
        <w:t xml:space="preserve">Distribución para las 3 Sesiones</w:t>
      </w:r>
    </w:p>
    <w:tbl>
      <w:tblGrid>
        <w:gridCol/>
        <w:gridCol/>
        <w:gridCol/>
        <w:gridCol/>
      </w:tblGrid>
      <w:tblPr>
        <w:tblW w:w="0" w:type="auto"/>
        <w:tblLayout w:type="autofit"/>
      </w:tblPr>
      <w:tr>
        <w:trPr>
          <w:tblHeader w:val="1"/>
        </w:trPr>
        <w:tc>
          <w:tcPr>
            <w:noWrap/>
          </w:tcPr>
          <w:p>
            <w:pPr/>
            <w:r>
              <w:rPr/>
              <w:t xml:space="preserve">Sesión</w:t>
            </w:r>
          </w:p>
        </w:tc>
        <w:tc>
          <w:tcPr>
            <w:noWrap/>
          </w:tcPr>
          <w:p>
            <w:pPr/>
            <w:r>
              <w:rPr/>
              <w:t xml:space="preserve">Actividad Gamificada</w:t>
            </w:r>
          </w:p>
        </w:tc>
        <w:tc>
          <w:tcPr>
            <w:noWrap/>
          </w:tcPr>
          <w:p>
            <w:pPr/>
            <w:r>
              <w:rPr/>
              <w:t xml:space="preserve">Duración Aproximada</w:t>
            </w:r>
          </w:p>
        </w:tc>
        <w:tc>
          <w:tcPr>
            <w:noWrap/>
          </w:tcPr>
          <w:p>
            <w:pPr/>
            <w:r>
              <w:rPr/>
              <w:t xml:space="preserve">Objetivo Reforzado</w:t>
            </w:r>
          </w:p>
        </w:tc>
      </w:tr>
      <w:tr>
        <w:trPr/>
        <w:tc>
          <w:tcPr>
            <w:noWrap/>
          </w:tcPr>
          <w:p>
            <w:pPr/>
            <w:r>
              <w:rPr/>
              <w:t xml:space="preserve">1</w:t>
            </w:r>
          </w:p>
        </w:tc>
        <w:tc>
          <w:tcPr>
            <w:noWrap/>
          </w:tcPr>
          <w:p>
            <w:pPr/>
            <w:r>
              <w:rPr/>
              <w:t xml:space="preserve">Reto de Equipos: "La Carrera de las Semejanzas"</w:t>
            </w:r>
          </w:p>
        </w:tc>
        <w:tc>
          <w:tcPr>
            <w:noWrap/>
          </w:tcPr>
          <w:p>
            <w:pPr/>
            <w:r>
              <w:rPr/>
              <w:t xml:space="preserve">50 minutos</w:t>
            </w:r>
          </w:p>
        </w:tc>
        <w:tc>
          <w:tcPr>
            <w:noWrap/>
          </w:tcPr>
          <w:p>
            <w:pPr/>
            <w:r>
              <w:rPr/>
              <w:t xml:space="preserve">Identificación y aplicación de razones, proporciones, ángulos y lados homologos</w:t>
            </w:r>
          </w:p>
        </w:tc>
      </w:tr>
      <w:tr>
        <w:trPr/>
        <w:tc>
          <w:tcPr>
            <w:noWrap/>
          </w:tcPr>
          <w:p>
            <w:pPr/>
            <w:r>
              <w:rPr/>
              <w:t xml:space="preserve">1</w:t>
            </w:r>
          </w:p>
        </w:tc>
        <w:tc>
          <w:tcPr>
            <w:noWrap/>
          </w:tcPr>
          <w:p>
            <w:pPr/>
            <w:r>
              <w:rPr/>
              <w:t xml:space="preserve">Juego de Cartas "SemejaQuiz"</w:t>
            </w:r>
          </w:p>
        </w:tc>
        <w:tc>
          <w:tcPr>
            <w:noWrap/>
          </w:tcPr>
          <w:p>
            <w:pPr/>
            <w:r>
              <w:rPr/>
              <w:t xml:space="preserve">30 minutos</w:t>
            </w:r>
          </w:p>
        </w:tc>
        <w:tc>
          <w:tcPr>
            <w:noWrap/>
          </w:tcPr>
          <w:p>
            <w:pPr/>
            <w:r>
              <w:rPr/>
              <w:t xml:space="preserve">Recapitulación rápida de conceptos clave y vocabulario</w:t>
            </w:r>
          </w:p>
        </w:tc>
      </w:tr>
      <w:tr>
        <w:trPr/>
        <w:tc>
          <w:tcPr>
            <w:noWrap/>
          </w:tcPr>
          <w:p>
            <w:pPr/>
            <w:r>
              <w:rPr/>
              <w:t xml:space="preserve">2</w:t>
            </w:r>
          </w:p>
        </w:tc>
        <w:tc>
          <w:tcPr>
            <w:noWrap/>
          </w:tcPr>
          <w:p>
            <w:pPr/>
            <w:r>
              <w:rPr/>
              <w:t xml:space="preserve">Escape Room Matemático</w:t>
            </w:r>
          </w:p>
        </w:tc>
        <w:tc>
          <w:tcPr>
            <w:noWrap/>
          </w:tcPr>
          <w:p>
            <w:pPr/>
            <w:r>
              <w:rPr/>
              <w:t xml:space="preserve">90 minutos</w:t>
            </w:r>
          </w:p>
        </w:tc>
        <w:tc>
          <w:tcPr>
            <w:noWrap/>
          </w:tcPr>
          <w:p>
            <w:pPr/>
            <w:r>
              <w:rPr/>
              <w:t xml:space="preserve">Aplicación integrada de conceptos para resolver problemas complejos</w:t>
            </w:r>
          </w:p>
        </w:tc>
      </w:tr>
      <w:tr>
        <w:trPr/>
        <w:tc>
          <w:tcPr>
            <w:noWrap/>
          </w:tcPr>
          <w:p>
            <w:pPr/>
            <w:r>
              <w:rPr/>
              <w:t xml:space="preserve">3</w:t>
            </w:r>
          </w:p>
        </w:tc>
        <w:tc>
          <w:tcPr>
            <w:noWrap/>
          </w:tcPr>
          <w:p>
            <w:pPr/>
            <w:r>
              <w:rPr/>
              <w:t xml:space="preserve">Desafío de Construcción Geométrica Digital</w:t>
            </w:r>
          </w:p>
        </w:tc>
        <w:tc>
          <w:tcPr>
            <w:noWrap/>
          </w:tcPr>
          <w:p>
            <w:pPr/>
            <w:r>
              <w:rPr/>
              <w:t xml:space="preserve">60 minutos</w:t>
            </w:r>
          </w:p>
        </w:tc>
        <w:tc>
          <w:tcPr>
            <w:noWrap/>
          </w:tcPr>
          <w:p>
            <w:pPr/>
            <w:r>
              <w:rPr/>
              <w:t xml:space="preserve">Visualización y creación de semejanzas usando tecnología</w:t>
            </w:r>
          </w:p>
        </w:tc>
      </w:tr>
      <w:tr>
        <w:trPr/>
        <w:tc>
          <w:tcPr>
            <w:noWrap/>
          </w:tcPr>
          <w:p>
            <w:pPr/>
            <w:r>
              <w:rPr/>
              <w:t xml:space="preserve">3</w:t>
            </w:r>
          </w:p>
        </w:tc>
        <w:tc>
          <w:tcPr>
            <w:noWrap/>
          </w:tcPr>
          <w:p>
            <w:pPr/>
            <w:r>
              <w:rPr/>
              <w:t xml:space="preserve">Sistema de Puntos y Recompensas (continuo)</w:t>
            </w:r>
          </w:p>
        </w:tc>
        <w:tc>
          <w:tcPr>
            <w:noWrap/>
          </w:tcPr>
          <w:p>
            <w:pPr/>
            <w:r>
              <w:rPr/>
              <w:t xml:space="preserve">Durante las sesiones</w:t>
            </w:r>
          </w:p>
        </w:tc>
        <w:tc>
          <w:tcPr>
            <w:noWrap/>
          </w:tcPr>
          <w:p>
            <w:pPr/>
            <w:r>
              <w:rPr/>
              <w:t xml:space="preserve">Motivación y participación constante</w:t>
            </w:r>
          </w:p>
        </w:tc>
      </w:tr>
    </w:tbl>
    <w:p>
      <w:pPr/>
      <w:r>
        <w:rPr/>
        <w:t xml:space="preserve">Estas mecánicas están diseñadas para fomentar la participación activa, el trabajo colaborativo y la aplicación práctica de los conceptos matemáticos, asegurando que los estudiantes se mantengan motivados y enfocados en los objetivos de aprendizaje durante las tres sesiones.</w:t>
      </w:r>
    </w:p>
    <w:p/>
    <w:p>
      <w:pPr/>
      <w:r>
        <w:rPr>
          <w:sz w:val="22"/>
          <w:szCs w:val="22"/>
          <w:b w:val="1"/>
          <w:bCs w:val="1"/>
        </w:rPr>
        <w:t xml:space="preserve">Recomendaciones - Dei</w:t>
      </w:r>
    </w:p>
    <w:p>
      <w:pPr/>
      <w:r>
        <w:rPr>
          <w:b w:val="1"/>
          <w:bCs w:val="1"/>
        </w:rPr>
        <w:t xml:space="preserve">Diversidad</w:t>
      </w:r>
    </w:p>
    <w:p>
      <w:pPr>
        <w:numPr>
          <w:ilvl w:val="0"/>
          <w:numId w:val="10"/>
        </w:numPr>
      </w:pPr>
      <w:r>
        <w:rPr>
          <w:b w:val="1"/>
          <w:bCs w:val="1"/>
        </w:rPr>
        <w:t xml:space="preserve">Incorporar ejemplos culturales diversos:</w:t>
      </w:r>
      <w:r>
        <w:rPr/>
        <w:t xml:space="preserve"> Al mostrar imágenes de edificios y objetos cotidianos en la fase de motivación, incluir construcciones representativas de distintas culturas y regiones socioeconómicas presentes en el aula. Esto valida la experiencia de los estudiantes y enriquece la comprensión del concepto. </w:t>
      </w:r>
      <w:r>
        <w:rPr>
          <w:i w:val="1"/>
          <w:iCs w:val="1"/>
        </w:rPr>
        <w:t xml:space="preserve">Impacto:</w:t>
      </w:r>
      <w:r>
        <w:rPr/>
        <w:t xml:space="preserve"> Promueve sentido de pertenencia y reconocimiento cultural.  </w:t>
      </w:r>
    </w:p>
    <w:p>
      <w:pPr>
        <w:numPr>
          <w:ilvl w:val="0"/>
          <w:numId w:val="10"/>
        </w:numPr>
      </w:pPr>
      <w:r>
        <w:rPr>
          <w:b w:val="1"/>
          <w:bCs w:val="1"/>
        </w:rPr>
        <w:t xml:space="preserve">Uso de lenguaje accesible y visual:</w:t>
      </w:r>
      <w:r>
        <w:rPr/>
        <w:t xml:space="preserve"> En las explicaciones sobre lados homólogos, ángulos congruentes y razones de semejanza, emplear lenguaje claro, apoyado con diagramas y videos subtitulados. Considerar términos en el idioma nativo de estudiantes que hablen otra lengua en casa. </w:t>
      </w:r>
      <w:r>
        <w:rPr>
          <w:i w:val="1"/>
          <w:iCs w:val="1"/>
        </w:rPr>
        <w:t xml:space="preserve">Impacto:</w:t>
      </w:r>
      <w:r>
        <w:rPr/>
        <w:t xml:space="preserve"> Facilita la comprensión para estudiantes con diferentes niveles lingüísticos y estilos de aprendizaje.  </w:t>
      </w:r>
    </w:p>
    <w:p>
      <w:pPr>
        <w:numPr>
          <w:ilvl w:val="0"/>
          <w:numId w:val="10"/>
        </w:numPr>
      </w:pPr>
      <w:r>
        <w:rPr>
          <w:b w:val="1"/>
          <w:bCs w:val="1"/>
        </w:rPr>
        <w:t xml:space="preserve">Formación de grupos heterogéneos:</w:t>
      </w:r>
      <w:r>
        <w:rPr/>
        <w:t xml:space="preserve"> Al organizar los grupos para analizar figuras semejantes, agrupar a estudiantes con diversas habilidades, géneros y orígenes para que aprendan colaborativamente. </w:t>
      </w:r>
      <w:r>
        <w:rPr>
          <w:i w:val="1"/>
          <w:iCs w:val="1"/>
        </w:rPr>
        <w:t xml:space="preserve">Impacto:</w:t>
      </w:r>
      <w:r>
        <w:rPr/>
        <w:t xml:space="preserve"> Fomenta el respeto, la empatía y el intercambio de perspectivas diversas.  </w:t>
      </w:r>
    </w:p>
    <w:p>
      <w:pPr/>
      <w:r>
        <w:rPr>
          <w:b w:val="1"/>
          <w:bCs w:val="1"/>
        </w:rPr>
        <w:t xml:space="preserve">Equidad de Género</w:t>
      </w:r>
    </w:p>
    <w:p>
      <w:pPr>
        <w:numPr>
          <w:ilvl w:val="0"/>
          <w:numId w:val="11"/>
        </w:numPr>
      </w:pPr>
      <w:r>
        <w:rPr>
          <w:b w:val="1"/>
          <w:bCs w:val="1"/>
        </w:rPr>
        <w:t xml:space="preserve">Ejemplos y roles no estereotipados:</w:t>
      </w:r>
      <w:r>
        <w:rPr/>
        <w:t xml:space="preserve"> Al presentar aplicaciones de semejanza en diseño y construcción, incluir ejemplos donde mujeres y hombres desempeñen roles técnicos y creativos (ej. arquitectas, ingenieros, diseñadoras). </w:t>
      </w:r>
      <w:r>
        <w:rPr>
          <w:i w:val="1"/>
          <w:iCs w:val="1"/>
        </w:rPr>
        <w:t xml:space="preserve">Impacto:</w:t>
      </w:r>
      <w:r>
        <w:rPr/>
        <w:t xml:space="preserve"> Desafía estereotipos de género y motiva a estudiantes a explorar todas las áreas.  </w:t>
      </w:r>
    </w:p>
    <w:p>
      <w:pPr>
        <w:numPr>
          <w:ilvl w:val="0"/>
          <w:numId w:val="11"/>
        </w:numPr>
      </w:pPr>
      <w:r>
        <w:rPr>
          <w:b w:val="1"/>
          <w:bCs w:val="1"/>
        </w:rPr>
        <w:t xml:space="preserve">Distribución equitativa de roles en actividades grupales:</w:t>
      </w:r>
      <w:r>
        <w:rPr/>
        <w:t xml:space="preserve"> Durante el análisis de figuras, alentar que tanto estudiantes masculinos como femeninos participen en la explicación, cálculos y presentación de resultados. </w:t>
      </w:r>
      <w:r>
        <w:rPr>
          <w:i w:val="1"/>
          <w:iCs w:val="1"/>
        </w:rPr>
        <w:t xml:space="preserve">Impacto:</w:t>
      </w:r>
      <w:r>
        <w:rPr/>
        <w:t xml:space="preserve"> Promueve confianza y visibilidad para todos los géneros.  </w:t>
      </w:r>
    </w:p>
    <w:p>
      <w:pPr>
        <w:numPr>
          <w:ilvl w:val="0"/>
          <w:numId w:val="11"/>
        </w:numPr>
      </w:pPr>
      <w:r>
        <w:rPr>
          <w:b w:val="1"/>
          <w:bCs w:val="1"/>
        </w:rPr>
        <w:t xml:space="preserve">Material visual inclusivo:</w:t>
      </w:r>
      <w:r>
        <w:rPr/>
        <w:t xml:space="preserve"> Usar imágenes y símbolos que representen diversidad de identidades de género para normalizar diferentes formas de ser y expresarse. </w:t>
      </w:r>
      <w:r>
        <w:rPr>
          <w:i w:val="1"/>
          <w:iCs w:val="1"/>
        </w:rPr>
        <w:t xml:space="preserve">Impacto:</w:t>
      </w:r>
      <w:r>
        <w:rPr/>
        <w:t xml:space="preserve"> Crea un ambiente respetuoso y seguro para estudiantes LGBT+.  </w:t>
      </w:r>
    </w:p>
    <w:p>
      <w:pPr/>
      <w:r>
        <w:rPr>
          <w:b w:val="1"/>
          <w:bCs w:val="1"/>
        </w:rPr>
        <w:t xml:space="preserve">Inclusión</w:t>
      </w:r>
    </w:p>
    <w:p>
      <w:pPr>
        <w:numPr>
          <w:ilvl w:val="0"/>
          <w:numId w:val="12"/>
        </w:numPr>
      </w:pPr>
      <w:r>
        <w:rPr>
          <w:b w:val="1"/>
          <w:bCs w:val="1"/>
        </w:rPr>
        <w:t xml:space="preserve">Materiales adaptados para necesidades diversas:</w:t>
      </w:r>
      <w:r>
        <w:rPr/>
        <w:t xml:space="preserve"> Proveer hojas de trabajo con letra grande, contrastes adecuados y versiones digitales editables para estudiantes con dificultades visuales o motrices. </w:t>
      </w:r>
      <w:r>
        <w:rPr>
          <w:i w:val="1"/>
          <w:iCs w:val="1"/>
        </w:rPr>
        <w:t xml:space="preserve">Impacto:</w:t>
      </w:r>
      <w:r>
        <w:rPr/>
        <w:t xml:space="preserve"> Facilita el acceso y participación plena.  </w:t>
      </w:r>
    </w:p>
    <w:p>
      <w:pPr>
        <w:numPr>
          <w:ilvl w:val="0"/>
          <w:numId w:val="12"/>
        </w:numPr>
      </w:pPr>
      <w:r>
        <w:rPr>
          <w:b w:val="1"/>
          <w:bCs w:val="1"/>
        </w:rPr>
        <w:t xml:space="preserve">Apoyo durante las actividades grupales:</w:t>
      </w:r>
      <w:r>
        <w:rPr/>
        <w:t xml:space="preserve"> Designar roles claros y brindar ayuda individualizada a estudiantes que presenten barreras de aprendizaje, por ejemplo mediante tutorías breves o uso de software interactivo que refuerce conceptos. </w:t>
      </w:r>
      <w:r>
        <w:rPr>
          <w:i w:val="1"/>
          <w:iCs w:val="1"/>
        </w:rPr>
        <w:t xml:space="preserve">Impacto:</w:t>
      </w:r>
      <w:r>
        <w:rPr/>
        <w:t xml:space="preserve"> Garantiza que todos puedan contribuir y comprender.  </w:t>
      </w:r>
    </w:p>
    <w:p>
      <w:pPr>
        <w:numPr>
          <w:ilvl w:val="0"/>
          <w:numId w:val="12"/>
        </w:numPr>
      </w:pPr>
      <w:r>
        <w:rPr>
          <w:b w:val="1"/>
          <w:bCs w:val="1"/>
        </w:rPr>
        <w:t xml:space="preserve">Estrategias de evaluación inclusivas:</w:t>
      </w:r>
      <w:r>
        <w:rPr/>
        <w:t xml:space="preserve"> Permitir que los estudiantes demuestren comprensión mediante diferentes formatos: presentaciones orales, diagramas, o explicaciones escritas, según sus fortalezas. </w:t>
      </w:r>
      <w:r>
        <w:rPr>
          <w:i w:val="1"/>
          <w:iCs w:val="1"/>
        </w:rPr>
        <w:t xml:space="preserve">Impacto:</w:t>
      </w:r>
      <w:r>
        <w:rPr/>
        <w:t xml:space="preserve"> Reconoce diversas formas de aprendizaje y expresión.  </w:t>
      </w:r>
    </w:p>
    <w:p>
      <w:pPr/>
      <w:r>
        <w:rPr>
          <w:b w:val="1"/>
          <w:bCs w:val="1"/>
        </w:rPr>
        <w:t xml:space="preserve">Modificaciones específicas a actividades</w:t>
      </w:r>
    </w:p>
    <w:p>
      <w:pPr>
        <w:numPr>
          <w:ilvl w:val="0"/>
          <w:numId w:val="13"/>
        </w:numPr>
      </w:pPr>
      <w:r>
        <w:rPr/>
        <w:t xml:space="preserve">    En la </w:t>
      </w:r>
      <w:r>
        <w:rPr>
          <w:i w:val="1"/>
          <w:iCs w:val="1"/>
        </w:rPr>
        <w:t xml:space="preserve">fase de inicio</w:t>
      </w:r>
      <w:r>
        <w:rPr/>
        <w:t xml:space="preserve">, al discutir el teorema de Pitágoras, incluir ejemplos cotidianos que reflejen realidades socioeconómicas variadas (por ejemplo, medir espacios en hogares o mercados locales), para hacer la matemática más relevante.  </w:t>
      </w:r>
    </w:p>
    <w:p>
      <w:pPr>
        <w:numPr>
          <w:ilvl w:val="0"/>
          <w:numId w:val="13"/>
        </w:numPr>
      </w:pPr>
      <w:r>
        <w:rPr/>
        <w:t xml:space="preserve">    Para la </w:t>
      </w:r>
      <w:r>
        <w:rPr>
          <w:i w:val="1"/>
          <w:iCs w:val="1"/>
        </w:rPr>
        <w:t xml:space="preserve">actividad de análisis en grupos</w:t>
      </w:r>
      <w:r>
        <w:rPr/>
        <w:t xml:space="preserve">, proporcionar instrucciones escritas y orales, y permitir que los estudiantes usen calculadoras o aplicaciones móviles que faciliten cálculos, especialmente para quienes tienen dificultades con el cálculo manual.  </w:t>
      </w:r>
    </w:p>
    <w:p>
      <w:pPr>
        <w:numPr>
          <w:ilvl w:val="0"/>
          <w:numId w:val="13"/>
        </w:numPr>
      </w:pPr>
      <w:r>
        <w:rPr/>
        <w:t xml:space="preserve">    Incorporar pausas activas y tiempos para preguntas en cada sesión para atender necesidades de atención y procesamiento diverso.  </w:t>
      </w:r>
    </w:p>
    <w:p>
      <w:pPr/>
      <w:r>
        <w:rPr>
          <w:b w:val="1"/>
          <w:bCs w:val="1"/>
        </w:rPr>
        <w:t xml:space="preserve">Recursos adicionales y estrategias de evaluación</w:t>
      </w:r>
    </w:p>
    <w:p>
      <w:pPr>
        <w:numPr>
          <w:ilvl w:val="0"/>
          <w:numId w:val="14"/>
        </w:numPr>
      </w:pPr>
      <w:r>
        <w:rPr>
          <w:b w:val="1"/>
          <w:bCs w:val="1"/>
        </w:rPr>
        <w:t xml:space="preserve">Recursos:</w:t>
      </w:r>
      <w:r>
        <w:rPr/>
        <w:t xml:space="preserve"> Videos con subtítulos y en lengua de señas, aplicaciones interactivas para explorar semejanzas, y bibliografía con ejemplos culturales diversos.  </w:t>
      </w:r>
    </w:p>
    <w:p>
      <w:pPr>
        <w:numPr>
          <w:ilvl w:val="0"/>
          <w:numId w:val="14"/>
        </w:numPr>
      </w:pPr>
      <w:r>
        <w:rPr>
          <w:b w:val="1"/>
          <w:bCs w:val="1"/>
        </w:rPr>
        <w:t xml:space="preserve">Evaluación formativa:</w:t>
      </w:r>
      <w:r>
        <w:rPr/>
        <w:t xml:space="preserve"> Uso de rúbricas claras que valoren comprensión conceptual, trabajo colaborativo e inclusión de perspectivas diversas.  </w:t>
      </w:r>
    </w:p>
    <w:p>
      <w:pPr>
        <w:numPr>
          <w:ilvl w:val="0"/>
          <w:numId w:val="14"/>
        </w:numPr>
      </w:pPr>
      <w:r>
        <w:rPr>
          <w:b w:val="1"/>
          <w:bCs w:val="1"/>
        </w:rPr>
        <w:t xml:space="preserve">Autoevaluación y coevaluación:</w:t>
      </w:r>
      <w:r>
        <w:rPr/>
        <w:t xml:space="preserve"> Invitar a los estudiantes a reflexionar sobre su participación y colaboración en grupos, fomentando autoobservación y empatía.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62B3C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A535F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952FA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F7618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6957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0A7BE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89BCD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14C43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DE077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1FC40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B4B45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3BEEF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F1D1B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6533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2026-09-26T02:22:59-05:00</dcterms:created>
  <dcterms:modified xsi:type="dcterms:W3CDTF">2026-09-26T02:22:59-05:00</dcterms:modified>
</cp:coreProperties>
</file>

<file path=docProps/custom.xml><?xml version="1.0" encoding="utf-8"?>
<Properties xmlns="http://schemas.openxmlformats.org/officeDocument/2006/custom-properties" xmlns:vt="http://schemas.openxmlformats.org/officeDocument/2006/docPropsVTypes"/>
</file>