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cuadráticas: estrategias para resolver y aplicar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secundaria, de 12 a 15 años, en el estudio y la resolución de ecuaciones cuadráticas dentro del área de Matemáticas y la asignatura de Álgebra. Durante cuatro semanas, se abordarán los conceptos fundamentales de las ecuaciones de segundo grado, sus diferentes formas de representación y los métodos más importantes para encontrar sus soluciones.</w:t>
      </w:r>
    </w:p>
    <w:p>
      <w:pPr/>
      <w:r>
        <w:rPr/>
        <w:t xml:space="preserve">El propósito principal es que los estudiantes desarrollen seguridad, precisión y asertividad al seleccionar y aplicar estrategias de factorización y la fórmula general. También aprenderán a reconocer cuándo una ecuación puede resolverse mediante factorización, a interpretar el discriminante y a verificar sus resultados sustituyendo las soluciones obtenidas en la ecuación original.</w:t>
      </w:r>
    </w:p>
    <w:p>
      <w:pPr/>
      <w:r>
        <w:rPr/>
        <w:t xml:space="preserve">El enfoque metodológico será activo y gradual, combinando explicaciones breves, ejemplos guiados, ejercicios individuales y colaborativos, resolución de problemas contextualizados, representaciones gráficas y actividades de autoevaluación. Se promoverá el razonamiento matemático, la comunicación de procedimientos y la identificación de errores como oportunidades de aprendizaje.</w:t>
      </w:r>
    </w:p>
    <w:p>
      <w:pPr/>
      <w:r>
        <w:rPr/>
        <w:t xml:space="preserve">Al finalizar, los estudiantes podrán identificar ecuaciones cuadráticas, transformarlas a su forma estándar, resolverlas mediante factorización y fórmula general, interpretar el número de soluciones y aplicar estos conocimientos en situaciones sencillas relacionadas con la geometría, el movimiento y otros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ecuaciones cuadráticas, expresándolas correctamente en forma estándar ax² + bx + c = 0.</w:t>
      </w:r>
    </w:p>
    <w:p>
      <w:pPr>
        <w:numPr>
          <w:ilvl w:val="0"/>
          <w:numId w:val="1"/>
        </w:numPr>
      </w:pPr>
      <w:r>
        <w:rPr/>
        <w:t xml:space="preserve">Aplicar estrategias de factorización para resolver ecuaciones cuadráticas sencillas y comprobar las soluciones obtenidas.</w:t>
      </w:r>
    </w:p>
    <w:p>
      <w:pPr>
        <w:numPr>
          <w:ilvl w:val="0"/>
          <w:numId w:val="1"/>
        </w:numPr>
      </w:pPr>
      <w:r>
        <w:rPr/>
        <w:t xml:space="preserve">Utilizar la fórmula general para resolver ecuaciones cuadráticas completas, identificando correctamente los valores de a, b y c.</w:t>
      </w:r>
    </w:p>
    <w:p>
      <w:pPr>
        <w:numPr>
          <w:ilvl w:val="0"/>
          <w:numId w:val="1"/>
        </w:numPr>
      </w:pPr>
      <w:r>
        <w:rPr/>
        <w:t xml:space="preserve">Interpretar el discriminante para determinar si una ecuación cuadrática tiene dos soluciones reales, una solución real o ninguna solución real.</w:t>
      </w:r>
    </w:p>
    <w:p>
      <w:pPr>
        <w:numPr>
          <w:ilvl w:val="0"/>
          <w:numId w:val="1"/>
        </w:numPr>
      </w:pPr>
      <w:r>
        <w:rPr/>
        <w:t xml:space="preserve">Resolver y comunicar situaciones problemáticas de contexto utilizando ecuaciones cuadráticas, justificando el método y verificando la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ecuaciones cuadráticas en forma estándar, factorizada y gráfica.</w:t>
      </w:r>
    </w:p>
    <w:p>
      <w:pPr>
        <w:numPr>
          <w:ilvl w:val="0"/>
          <w:numId w:val="2"/>
        </w:numPr>
      </w:pPr>
      <w:r>
        <w:rPr/>
        <w:t xml:space="preserve">Seleccionar de manera razonada el método más adecuado para resolver una ecuación cuadrática.</w:t>
      </w:r>
    </w:p>
    <w:p>
      <w:pPr>
        <w:numPr>
          <w:ilvl w:val="0"/>
          <w:numId w:val="2"/>
        </w:numPr>
      </w:pPr>
      <w:r>
        <w:rPr/>
        <w:t xml:space="preserve">Aplicar correctamente estrategias de factorización para obtener las soluciones de ecuaciones cuadráticas.</w:t>
      </w:r>
    </w:p>
    <w:p>
      <w:pPr>
        <w:numPr>
          <w:ilvl w:val="0"/>
          <w:numId w:val="2"/>
        </w:numPr>
      </w:pPr>
      <w:r>
        <w:rPr/>
        <w:t xml:space="preserve">Aplicar la fórmula general con precisión, sustituyendo adecuadamente los valores de los coeficientes.</w:t>
      </w:r>
    </w:p>
    <w:p>
      <w:pPr>
        <w:numPr>
          <w:ilvl w:val="0"/>
          <w:numId w:val="2"/>
        </w:numPr>
      </w:pPr>
      <w:r>
        <w:rPr/>
        <w:t xml:space="preserve">Interpretar el discriminante para determinar la cantidad y el tipo de soluciones reales.</w:t>
      </w:r>
    </w:p>
    <w:p>
      <w:pPr>
        <w:numPr>
          <w:ilvl w:val="0"/>
          <w:numId w:val="2"/>
        </w:numPr>
      </w:pPr>
      <w:r>
        <w:rPr/>
        <w:t xml:space="preserve">Verificar, comunicar y justificar los procedimientos y resultados obtenidos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sobre operaciones con números enteros, racionales y reales.</w:t>
      </w:r>
    </w:p>
    <w:p>
      <w:pPr>
        <w:numPr>
          <w:ilvl w:val="0"/>
          <w:numId w:val="3"/>
        </w:numPr>
      </w:pPr>
      <w:r>
        <w:rPr/>
        <w:t xml:space="preserve">Manejo de expresiones algebraicas, términos semejantes, productos notables y propiedades de la igualdad.</w:t>
      </w:r>
    </w:p>
    <w:p>
      <w:pPr>
        <w:numPr>
          <w:ilvl w:val="0"/>
          <w:numId w:val="3"/>
        </w:numPr>
      </w:pPr>
      <w:r>
        <w:rPr/>
        <w:t xml:space="preserve">Conocimientos básicos de factorización de expresiones algebraicas.</w:t>
      </w:r>
    </w:p>
    <w:p>
      <w:pPr>
        <w:numPr>
          <w:ilvl w:val="0"/>
          <w:numId w:val="3"/>
        </w:numPr>
      </w:pPr>
      <w:r>
        <w:rPr/>
        <w:t xml:space="preserve">Cuaderno, lápiz, regla, calculadora básica y materiales para elaborar representaciones gráficas.</w:t>
      </w:r>
    </w:p>
    <w:p>
      <w:pPr>
        <w:numPr>
          <w:ilvl w:val="0"/>
          <w:numId w:val="3"/>
        </w:numPr>
      </w:pPr>
      <w:r>
        <w:rPr/>
        <w:t xml:space="preserve">Acceso a recursos digitales opcionales, como GeoGebra, hojas de cálculo o videos educativos seleccionados por el docente.</w:t>
      </w:r>
    </w:p>
    <w:p>
      <w:pPr>
        <w:numPr>
          <w:ilvl w:val="0"/>
          <w:numId w:val="3"/>
        </w:numPr>
      </w:pPr>
      <w:r>
        <w:rPr/>
        <w:t xml:space="preserve">Disposición para explicar procedimientos, trabajar colaborativamente y revisar los errores cometidos.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Resolución mediante factorización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Fórmula general y discriminante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Aplicaciones, modelación y evaluación integradora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A2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39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C63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2026-09-26T00:18:15-05:00</dcterms:created>
  <dcterms:modified xsi:type="dcterms:W3CDTF">2026-09-26T00:18:15-05:00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