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Electroestética Avanzada Aplicada a la Kinesiología: Fundamentos, Tecnologías y Práctica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Kinesiología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Electroestética aborda los fundamentos científicos, clínicos y tecnológicos de la aplicación de agentes físicos con fines estéticos, funcionales y de bienestar, desde una perspectiva propia de la Kinesiología y las Ciencias de la Salud. Su propósito es que el estudiante de posgrado comprenda los mecanismos de acción de las principales modalidades electroestéticas, valore sus indicaciones y limitaciones, y diseñe intervenciones seguras, éticas y fundamentadas en la evidencia.</w:t>
      </w:r>
    </w:p>
    <w:p>
      <w:pPr/>
      <w:r>
        <w:rPr/>
        <w:t xml:space="preserve">Está dirigido a profesionales y estudiantes de posgrado del área de la salud, especialmente kinesiólogos, fisioterapeutas y profesionales vinculados con la rehabilitación, la dermatofuncionalidad y la estética clínica. El curso integra clases teóricas, análisis crítico de literatura científica, demostraciones técnicas, resolución de casos, prácticas supervisadas y elaboración de protocolos de intervención.</w:t>
      </w:r>
    </w:p>
    <w:p>
      <w:pPr/>
      <w:r>
        <w:rPr/>
        <w:t xml:space="preserve">Al finalizar, los estudiantes podrán analizar las características físicas y biológicas de las corrientes, energías y tecnologías utilizadas en electroestética; seleccionar equipos y parámetros de aplicación de acuerdo con objetivos clínicos; identificar indicaciones, contraindicaciones y riesgos; evaluar resultados mediante instrumentos válidos; y justificar sus decisiones con base en la fisiología, la seguridad del paciente y la evidencia disponible. Se enfatiza el razonamiento clínico, la evaluación individualizada, la trazabilidad de los procedimientos y la integración interdisciplinaria.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principios físicos, fisiológicos y terapéuticos que sustentan el uso de tecnologías electroestéticas en el campo de la Kinesiología.</w:t>
      </w:r>
    </w:p>
    <w:p>
      <w:pPr>
        <w:numPr>
          <w:ilvl w:val="0"/>
          <w:numId w:val="1"/>
        </w:numPr>
      </w:pPr>
      <w:r>
        <w:rPr/>
        <w:t xml:space="preserve">Evaluar las necesidades y condiciones de cada paciente para seleccionar modalidades, parámetros y protocolos electroestéticos pertinentes y seguros.</w:t>
      </w:r>
    </w:p>
    <w:p>
      <w:pPr>
        <w:numPr>
          <w:ilvl w:val="0"/>
          <w:numId w:val="1"/>
        </w:numPr>
      </w:pPr>
      <w:r>
        <w:rPr/>
        <w:t xml:space="preserve">Aplicar procedimientos electroestéticos de complejidad progresiva, integrando criterios de bioseguridad, ergonomía, ética profesional y prevención de eventos adversos.</w:t>
      </w:r>
    </w:p>
    <w:p>
      <w:pPr>
        <w:numPr>
          <w:ilvl w:val="0"/>
          <w:numId w:val="1"/>
        </w:numPr>
      </w:pPr>
      <w:r>
        <w:rPr/>
        <w:t xml:space="preserve">Diseñar y justificar protocolos individualizados de intervención para alteraciones estéticas y funcionales, sustentados en la evaluación clínica y la evidencia disponible.</w:t>
      </w:r>
    </w:p>
    <w:p>
      <w:pPr>
        <w:numPr>
          <w:ilvl w:val="0"/>
          <w:numId w:val="1"/>
        </w:numPr>
      </w:pPr>
      <w:r>
        <w:rPr/>
        <w:t xml:space="preserve">Valorar los resultados de las intervenciones mediante indicadores clínicos, funcionales y estéticos, y comunicar conclusiones profesionales de forma sistemática.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biofísicos, fisiológicos y tisulares de las principales tecnologías electroestéticas utilizadas en Kinesiología.</w:t>
      </w:r>
    </w:p>
    <w:p>
      <w:pPr>
        <w:numPr>
          <w:ilvl w:val="0"/>
          <w:numId w:val="2"/>
        </w:numPr>
      </w:pPr>
      <w:r>
        <w:rPr/>
        <w:t xml:space="preserve">Seleccionar y configurar agentes electroestéticos según la evaluación del paciente, los objetivos terapéuticos y la evidencia científica disponible.</w:t>
      </w:r>
    </w:p>
    <w:p>
      <w:pPr>
        <w:numPr>
          <w:ilvl w:val="0"/>
          <w:numId w:val="2"/>
        </w:numPr>
      </w:pPr>
      <w:r>
        <w:rPr/>
        <w:t xml:space="preserve">Aplicar procedimientos electroestéticos de manera segura, ética y técnicamente correcta, respetando indicaciones, contraindicaciones y normas de bioseguridad.</w:t>
      </w:r>
    </w:p>
    <w:p>
      <w:pPr>
        <w:numPr>
          <w:ilvl w:val="0"/>
          <w:numId w:val="2"/>
        </w:numPr>
      </w:pPr>
      <w:r>
        <w:rPr/>
        <w:t xml:space="preserve">Diseñar protocolos individualizados para alteraciones estéticas y funcionales frecuentes, integrando evaluación, intervención y seguimiento.</w:t>
      </w:r>
    </w:p>
    <w:p>
      <w:pPr>
        <w:numPr>
          <w:ilvl w:val="0"/>
          <w:numId w:val="2"/>
        </w:numPr>
      </w:pPr>
      <w:r>
        <w:rPr/>
        <w:t xml:space="preserve">Evaluar críticamente la eficacia, seguridad y pertinencia clínica de dispositivos y procedimientos electroestéticos.</w:t>
      </w:r>
    </w:p>
    <w:p>
      <w:pPr>
        <w:numPr>
          <w:ilvl w:val="0"/>
          <w:numId w:val="2"/>
        </w:numPr>
      </w:pPr>
      <w:r>
        <w:rPr/>
        <w:t xml:space="preserve">Comunicar resultados clínicos y decisiones terapéuticas mediante registros profesionales, informes técnicos y argumentación basada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de anatomía, fisiología, fisiopatología, dermatología básica, kinesiología y agentes físicos.</w:t>
      </w:r>
    </w:p>
    <w:p>
      <w:pPr>
        <w:numPr>
          <w:ilvl w:val="0"/>
          <w:numId w:val="3"/>
        </w:numPr>
      </w:pPr>
      <w:r>
        <w:rPr/>
        <w:t xml:space="preserve">Competencias básicas en evaluación clínica, razonamiento profesional y lectura crítica de artículos científicos.</w:t>
      </w:r>
    </w:p>
    <w:p>
      <w:pPr>
        <w:numPr>
          <w:ilvl w:val="0"/>
          <w:numId w:val="3"/>
        </w:numPr>
      </w:pPr>
      <w:r>
        <w:rPr/>
        <w:t xml:space="preserve">Acceso a un laboratorio o espacio de prácticas con equipos electroestéticos autorizados y manuales técnicos.</w:t>
      </w:r>
    </w:p>
    <w:p>
      <w:pPr>
        <w:numPr>
          <w:ilvl w:val="0"/>
          <w:numId w:val="3"/>
        </w:numPr>
      </w:pPr>
      <w:r>
        <w:rPr/>
        <w:t xml:space="preserve">Elementos de bioseguridad: guantes, mascarilla cuando corresponda, protección ocular, material de limpieza y desinfección.</w:t>
      </w:r>
    </w:p>
    <w:p>
      <w:pPr>
        <w:numPr>
          <w:ilvl w:val="0"/>
          <w:numId w:val="3"/>
        </w:numPr>
      </w:pPr>
      <w:r>
        <w:rPr/>
        <w:t xml:space="preserve">Camilla, electrodos, cables, geles o medios de acoplamiento, material de registro y dispositivos de medición clínica.</w:t>
      </w:r>
    </w:p>
    <w:p>
      <w:pPr>
        <w:numPr>
          <w:ilvl w:val="0"/>
          <w:numId w:val="3"/>
        </w:numPr>
      </w:pPr>
      <w:r>
        <w:rPr/>
        <w:t xml:space="preserve">Acceso a bibliografía científica, guías de práctica clínica, normativa sanitaria vigente y fichas técnicas de los equipos.</w:t>
      </w:r>
    </w:p>
    <w:p>
      <w:pPr>
        <w:numPr>
          <w:ilvl w:val="0"/>
          <w:numId w:val="3"/>
        </w:numPr>
      </w:pPr>
      <w:r>
        <w:rPr/>
        <w:t xml:space="preserve">Consentimientos informados, fichas de evaluación, escalas de valoración y formatos para el registro de parámetros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electroestética y rol kinésico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Biofísica de los agentes electroestéticos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Fisiología de la piel y los tejidos blandos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kinésica en electroestética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Bioseguridad, seguridad del paciente y gestión del riesgo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Corrientes de baja y media frecuencia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Electroestimulación neuromuscular aplicada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Corriente galvánica, iontoforesis y electroporación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Radiofrecuencia y termoterapia profunda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Ultrasonido terapéutico y estético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Fototerapia, LED y láser de baja intensidad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Presoterapia, compresión y tecnologías neumáticas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Vacuoterapia, endermología y técnicas de presión negativa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Tecnologías para tejido adiposo y remodelación corporal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Diseño de protocolos integrales y abordaje de casos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de resultados, evidencia e integración profesional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520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5A3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A7D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2026-09-25T21:02:57-05:00</dcterms:created>
  <dcterms:modified xsi:type="dcterms:W3CDTF">2026-09-25T21:02:57-05:00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