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Familia – Comunidad – Escuela – Iglesia: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puntualidad, creatividad, contenido del tema, orden y aseo en proyectos relacionados con Familia, Comunidad, Escuela e Iglesia, incorporando criterios de Diversidad, Equidad e Inclusión (DEI). Está diseñada para estudiantes de secundaria (12-15 años) y utiliza una escala numérica para valorar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Familia – Comunidad – Escuela – Iglesia: Habilidades Socioemocionales
Esta rúbrica evalúa la puntualidad, creatividad, contenido del tema, orden y aseo en proyectos relacionados con Familia, Comunidad, Escuela e Iglesia, incorporando criterios de Diversidad, Equidad e Inclusión (DEI). Está diseñada para estudiantes de secundaria (12-15 años) y utiliza una escala numérica para valorar el desempeño.
      Aspectos a Evaluar
      Criterios de Evaluación
      Puntuación
      Puntualidad
      Excelente: Entrega o presentación realizada a tiempo o antes del límite establecido.
      90% - 100%
      Bueno: Entrega o presentación realizada con un retraso menor al 10% del tiempo asignado.
      80% - 89%
      Aceptable: Entrega o presentación realizada con retraso superior al 10% pero menor al 20%. Pobre: Entrega o presentación con retraso mayor al 20% o no realizada.
      50% - 79%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