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la Creación de Calcetas Locas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creatividad, el desempeño y la inclusión en la elaboración de calcetas locas por estudiantes de primaria (6-11 años). Cada criterio debe marcarse con "Sí" o "No" para identificar si está presente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la Creación de Calcetas Locas</w:t>
      </w:r>
    </w:p>
    <w:p>
      <w:pPr/>
      <w:r>
        <w:rPr/>
        <w:t xml:space="preserve">Esta lista de verificación evalúa la creatividad, el desempeño y la inclusión en la elaboración de calcetas locas por estudiantes de primaria (6-11 años). Cada criterio debe marcarse con "Sí" o "No" para identificar si está presente en 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calceta presenta un diseño original y utiliza colores, formas o materiales de manera innovadora.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emplean diversos materiales adecuados para la elaboración de la calceta, mostrando variedad y buen manejo.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El trabajo refleja cuidado y esfuerzo en la realización, sin partes incompletas o descuidadas.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La calceta comunica una idea, emoción o historia que se puede interpretar claramente.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Se observa colaboración y respeto hacia las ideas y aportes de otros compañeros si fue un trabajo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El diseño refleja respeto por la diversidad cultural, de género y capacidades diversas, evitando estereotipos.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calceta está terminada adecuadamente, con acabados limpios y lista para exhibirse.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Se siguieron las indicaciones del proyecto en cuanto a tamaño, materiales permitidos y tiempo de entrega.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