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Normatividad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mecatrónica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inclusión y correcta aplicación de normativas relevantes en trabajos de estudiantes de Ingeniería Mecatrónica. Cada criterio debe ser marcado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Normatividad en Ingeniería Mecatrónica</w:t>
      </w:r>
    </w:p>
    <w:p>
      <w:pPr/>
      <w:r>
        <w:rPr/>
        <w:t xml:space="preserve">Esta lista de verificación está diseñada para evaluar la inclusión y correcta aplicación de normativas relevantes en trabajos de estudiantes de Ingeniería Mecatrónica. Cada criterio debe ser marcado con "Sí" o "No" según corresponda.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las normativas aplicables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 correcta y completa de las normativas citadas.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las normativas en el diseño o análisis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con las normas de seguridad establecidas para sistemas mecatrónicos.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estándares internacionales relevantes (ej. ISO, IEC).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del impacto de la normatividad en el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y coherente de la información normativa.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actualización de normativas recientes en el contexto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2026-09-26T02:17:11-05:00</dcterms:created>
  <dcterms:modified xsi:type="dcterms:W3CDTF">2026-09-26T02:17:11-05:00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