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la Construcción de Acuerdos de Convivencia y Análisis de Cambios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educación primaria (6-11 años) en la construcción de acuerdos de convivencia, la identificación de aspectos de la vida cotidiana y su comparación con el pasado, destacando cambios y continuidades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la Construcción de Acuerdos de Convivencia y Análisis de Cambios Culturales</w:t>
      </w:r>
    </w:p>
    <w:p>
      <w:pPr/>
      <w:r>
        <w:rPr/>
        <w:t xml:space="preserve">Esta rúbrica está diseñada para evaluar la participación de estudiantes de educación primaria (6-11 años) en la construcción de acuerdos de convivencia, la identificación de aspectos de la vida cotidiana y su comparación con el pasado, destacando cambios y continuidades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pertinentes para los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Contribuye con ideas en la mayoría de las ocasiones y son generalmente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ideas que a veces son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están relacionadas con los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todas las opiniones,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veces interrumpe o desestima a otros.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dificulta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de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aspectos de la vida cotidiana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la vida cotidiana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pocos aspectos y los ejemplos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aspectos relevantes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aspectos actuales con el pasado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claras entre el presente y el pasado.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la cultura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cambios culturales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culturales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pocos cambios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cambios culturales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continuidades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continuidades culturales presentes.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continuidades culturales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continuidades y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continuidades culturales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eficazmente, motivando a sus compañeros y trabajando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en ocasiones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y afecta negativamente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en sus ideas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organiza bien sus ideas.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no siempre son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manera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2026-09-26T04:00:23-05:00</dcterms:created>
  <dcterms:modified xsi:type="dcterms:W3CDTF">2026-09-26T04:00:23-05:00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