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Resolución de Casos de Infracciones y Sanciones en el Código Tributario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media que analizan casos relacionados con infracciones y sanciones generales del Código Tributario de Guatemala.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Resolución de Casos de Infracciones y Sanciones en el Código Tributario de Guatemala</w:t>
      </w:r>
    </w:p>
    <w:p>
      <w:pPr/>
      <w:r>
        <w:rPr/>
        <w:t xml:space="preserve">Esta lista de verificación está diseñada para evaluar el trabajo de los estudiantes de media que analizan casos relacionados con infracciones y sanciones generales del Código Tributario de Guatemala.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infracción tributaria presentada en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 sanción aplicable según el Código Tributario.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legal para la imposición de la sanción.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específica a los artículos del Código Tributario que sustentan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argumentos fundamentados para la resolución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tributaria y legal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resume la resolución y la sanción aplicada al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2026-09-26T02:22:31-05:00</dcterms:created>
  <dcterms:modified xsi:type="dcterms:W3CDTF">2026-09-26T02:22:31-05:00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