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Áreas de Brodmann en Terapia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Terapia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valorar la identificación, comprensión y aplicación de las áreas de Brodmann en el contexto terapéutico por estudiantes universitarios de Ciencias de la Salud. Cada criterio debe ser marcado como "Sí" si está presente o "No" si está ausente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Áreas de Brodmann en Terapia</w:t>
      </w:r>
    </w:p>
    <w:p>
      <w:pPr/>
      <w:r>
        <w:rPr/>
        <w:t xml:space="preserve">Esta lista de verificación está diseñada para valorar la identificación, comprensión y aplicación de las áreas de Brodmann en el contexto terapéutico por estudiantes universitarios de Ciencias de la Salud. Cada criterio debe ser marcado como "Sí" si está presente o "No" si está ausente en el trabajo entregado.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áreas de Brodmann relevantes para la terapia.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precisa de la función neuroanatómica de cada área de Brodmann mencionada.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clara entre las áreas de Brodmann y los trastornos neurológicos o psicológicos tratados.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conocimientos sobre áreas de Brodmann en el diseño de estrategias terapéuticas.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especializada relacionada con neuroanatomía y terapia.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referencias bibliográficas actualizadas y pertinentes sobre áreas de Brodmann y terapia.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verbal del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las indicaciones formales del trabajo o proyecto.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2026-09-26T01:17:48-05:00</dcterms:created>
  <dcterms:modified xsi:type="dcterms:W3CDTF">2026-09-26T01:17:48-05:00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