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Líneas Notables de un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secundaria (12-15 años) en la identificación y modelado de líneas notables en triángulos, promoviendo la comprensión geométrica y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Líneas Notables de un Triángulo</w:t>
      </w:r>
    </w:p>
    <w:p>
      <w:pPr/>
      <w:r>
        <w:rPr/>
        <w:t xml:space="preserve">Esta lista de verificación está diseñada para evaluar el trabajo de los estudiantes de secundaria (12-15 años) en la identificación y modelado de líneas notables en triángulos, promoviendo la comprensión geométrica y fomentando un ambiente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triángulo está correctamente dibujado con sus lados y vértices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y dibujan correctamente al menos dos líneas notables (medianas, bisectrices, alturas o mediatrices).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Las líneas notables están etiquetadas y se muestra comprensión de su significado geométrico.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utiliza una representación visual clara y ordenada para modelar el triángulo y sus líneas notables.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refleja esfuerzo y atención a detalles, mostrando respeto por la diversidad de estilos y maneras de representación.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evidencia inclusión en el trabajo, valorando distintas formas de aprendizaje y expresiones creativas.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demuestra equidad al explicar o justificar la importancia de las líneas notables, respetando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presentado en tiempo y forma, mostrando responsabilidad y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2026-09-26T04:03:33-05:00</dcterms:created>
  <dcterms:modified xsi:type="dcterms:W3CDTF">2026-09-26T04:03:33-05:00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