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Herramientas Digitales de Aprendizaje Autónomo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y efectividad de herramientas digitales aplicadas al aprendizaje autónomo en estudiantes de educación técnica y tecnológica. Cada criterio valorará un aspecto clave del trabajo realizado,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Herramientas Digitales de Aprendizaje Autónomo</w:t>
      </w:r>
    </w:p>
    <w:p>
      <w:pPr/>
      <w:r>
        <w:rPr/>
        <w:t xml:space="preserve">Esta rúbrica está diseñada para evaluar de manera integral el uso y efectividad de herramientas digitales aplicadas al aprendizaje autónomo en estudiantes de educación técnica y tecnológica. Cada criterio valorará un aspecto clave del trabajo realizado,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La herramienta elegida es adecuada para el objetivo de aprendizaje y facilita la autonomía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y accesibilidad</w:t>
            </w:r>
          </w:p>
        </w:tc>
        <w:tc>
          <w:tcPr>
            <w:noWrap/>
          </w:tcPr>
          <w:p>
            <w:pPr/>
            <w:r>
              <w:rPr/>
              <w:t xml:space="preserve">La herramienta es fácil de usar y accesible, permitiendo una navegación intuitiva y sin dificultades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Funcionalidades y recursos</w:t>
            </w:r>
          </w:p>
        </w:tc>
        <w:tc>
          <w:tcPr>
            <w:noWrap/>
          </w:tcPr>
          <w:p>
            <w:pPr/>
            <w:r>
              <w:rPr/>
              <w:t xml:space="preserve">La herramienta ofrece funcionalidades y recursos suficientes que apoyan el aprendizaje autónomo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motivación</w:t>
            </w:r>
          </w:p>
        </w:tc>
        <w:tc>
          <w:tcPr>
            <w:noWrap/>
          </w:tcPr>
          <w:p>
            <w:pPr/>
            <w:r>
              <w:rPr/>
              <w:t xml:space="preserve">La herramienta promueve la participación activa y mantiene el interés del estudiante durante el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contenido curricular</w:t>
            </w:r>
          </w:p>
        </w:tc>
        <w:tc>
          <w:tcPr>
            <w:noWrap/>
          </w:tcPr>
          <w:p>
            <w:pPr/>
            <w:r>
              <w:rPr/>
              <w:t xml:space="preserve">La herramienta se integra coherentemente con los contenidos y objetivos del programa técnico/tecnológico.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La herramienta facilita que el estudiante pueda autoevaluarse y gestionar su propio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uso</w:t>
            </w:r>
          </w:p>
        </w:tc>
        <w:tc>
          <w:tcPr>
            <w:noWrap/>
          </w:tcPr>
          <w:p>
            <w:pPr/>
            <w:r>
              <w:rPr/>
              <w:t xml:space="preserve">Se evidencia un uso innovador y creativo de la herramienta que enriquece la experiencia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contribuye claramente a mejorar el conocimiento y habilidades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