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Daño Derecho: Incumplimiento de las Obligaciones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sobre el daño derecho en el contexto del incumplimiento de obligaciones, considerando además criterios de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Daño Derecho: Incumplimiento de las Obligaciones</w:t>
      </w:r>
    </w:p>
    <w:p>
      <w:pPr/>
      <w:r>
        <w:rPr/>
        <w:t xml:space="preserve">Esta rúbrica está diseñada para evaluar el conocimiento y análisis de los estudiantes universitarios sobre el daño derecho en el contexto del incumplimiento de obligaciones, considerando además criterios de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daño derecho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daño derecho aplicado al incumplimiento de obligaciones,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concepto, con explicaciones claras aunque con algunos detalles menores poco 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presenta confusiones o explicaciones superficiales sobre el concepto.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daño derecho ni su relación con el incumplimiento de obligaciones.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incumplimiento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claramente los distintos tipos de incumplimiento de obligaciones,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los tipos principales de incumplimiento, aunque con menor precisión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incumplimiento pero con confusiones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incumplimiento de obligaciones.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daño causado por el incumplimiento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el daño causado, considerando consecuencias jurídicas y sociales.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daño, con algunas limitaciones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 del daño causado.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del daño o es irrelevante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jurisprudencia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normativas y jurisprudencia relevante para fundamentar el daño derecho en incumplimientos.</w:t>
            </w:r>
          </w:p>
        </w:tc>
        <w:tc>
          <w:tcPr>
            <w:noWrap/>
          </w:tcPr>
          <w:p>
            <w:pPr/>
            <w:r>
              <w:rPr/>
              <w:t xml:space="preserve">Aplica normativas y jurisprudencia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limitada o sin una adecuada fundamentación.</w:t>
            </w:r>
          </w:p>
        </w:tc>
        <w:tc>
          <w:tcPr>
            <w:noWrap/>
          </w:tcPr>
          <w:p>
            <w:pPr/>
            <w:r>
              <w:rPr/>
              <w:t xml:space="preserve">No aplica normativas ni jurisprudencia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estructurados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Los argumentos son mayormente claros y coherentes, con pequeñas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incoherente o irrelevante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reflexiva aspectos de DEI relacionados con el daño y el incumplimiento, demostrando sensibilidad social.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de forma adecuada, aunque con menor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poco relacionada con el tema central.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de DEI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jurídico y académico</w:t>
            </w:r>
          </w:p>
        </w:tc>
        <w:tc>
          <w:tcPr>
            <w:noWrap/>
          </w:tcPr>
          <w:p>
            <w:pPr/>
            <w:r>
              <w:rPr/>
              <w:t xml:space="preserve">Utiliza un lenguaje jurídico y académico preciso, adecuado al nivel universitario y al contexto del daño derecho.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lenguaje, con algunos errores menores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jurídico y académico.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múltiples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impecable, respeto a normas académicas y sin errores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formales o gramaticales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formales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errores graves en formato, ortografía y gramática.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2026-09-25T23:26:25-05:00</dcterms:created>
  <dcterms:modified xsi:type="dcterms:W3CDTF">2026-09-25T23:26:25-05:00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