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Redacción de Coplas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coplas en estudiantes de primaria (6-11 años), considerando creatividad, autenticidad, coherencia y cohesión, redacción, ortografía y caligrafía,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Redacción de Coplas Escritura
Esta rúbrica está diseñada para evaluar la redacción de coplas en estudiantes de primaria (6-11 años), considerando creatividad, autenticidad, coherencia y cohesión, redacción, ortografía y caligrafía, así como aspectos de diversidad, equidad e inclusión (DEI).
      Aspectos a Evaluar
      Criterios de Evaluación
      Puntuación
      Creatividad
          Excelente (90%+): Muestra ideas originales y uso imaginativo del lenguaje en las coplas.
          Bueno (80%+): Presenta ideas creativas con algunos elementos novedosos.
          Aceptable (50%+): Contiene ideas simples con poca innovación.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