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cálculo de valores usando las razones fundamentales de seno, coseno y tangente en estudiantes de secundaria (12-15 años). Se considera el trabajo en su conjunto, integrando aspectos matemáticos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Funciones Trigonométricas</w:t>
      </w:r>
    </w:p>
    <w:p>
      <w:pPr/>
      <w:r>
        <w:rPr/>
        <w:t xml:space="preserve">Esta rúbrica está diseñada para evaluar el cálculo de valores usando las razones fundamentales de seno, coseno y tangente en estudiantes de secundaria (12-15 años). Se considera el trabajo en su conjunto, integrando aspectos matemáticos y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Los valores calculados usando seno, coseno y tangente son correctos y exactos en al menos el 90% de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adecuada del uso de seno, coseno y tangente para resolver problemas trigonométricos.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valores obtenidos en contextos geométricos o prácticos relacionados con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clara, facilitando la comprensión del proceso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Incluye y utiliza correctamente diagramas o gráficos para apoyar el cálculo y la interpretación de las funciones trigonométricas.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compañeros, valorando y considerando diferentes puntos de vista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estrategias para asegurar que todos los estudiantes, incluyendo aquellos con necesidades especiales, puedan comprender y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cultural y lingüística en ejemplos o explicaciones, evitando sesgos y promoviendo la equidad.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