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Estudio de Caso de los Hongos Comestibles —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el estudio de caso elaborado por estudiantes universitarios. Marque “Sí” cuando el elemento esté presente, sea correcto y esté sustentado; marque “No” cuando esté ausente, sea insuficiente o presente errores. Puntaje sugerido: 1 punto por cada criterio cumplido, para un máximo de 8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Estudio de Caso de los Hongos Comestibles — Microbiología</w:t>
      </w:r>
    </w:p>
    <w:p>
      <w:pPr/>
      <w:r>
        <w:rPr/>
        <w:t xml:space="preserve">Instrumento para evaluar el estudio de caso elaborado por estudiantes universitarios. Marque “Sí” cuando el elemento esté presente, sea correcto y esté sustentado; marque “No” cuando esté ausente, sea insuficiente o presente errores. Puntaje sugerido: 1 punto por cada criterio cumplido, para un máximo de 8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Evidencia u 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especie o grupo de hongo comestible estudiado, incluyendo su clasificación básica y relevancia alimentaria o comercial.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macroscópicas y microscópicas del micelio, diferenciándolo de posibles contaminantes u otras estructuras fúngicas.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Explica las etapas de crecimiento del hongo: germinación, formación y colonización del micelio, fructificación, desarrollo del cuerpo fructífero y cosecha.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Relaciona cada etapa de crecimiento con las condiciones microbiológicas y fisicoquímicas requeridas, como temperatura, humedad, pH, oxígeno, luz y composición del sustrato.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Propone controles de crecimiento medibles y coherentes, incluyendo monitoreo de variables, frecuencia de evaluación, límites aceptables y acciones correctivas.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medidas de bioseguridad, higiene y prevención o control de contaminaciones microbiológicas durante la inoculación, incubación, fructificación y cosecha.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Establece controles de calidad del producto a comercializar, considerando características organolépticas, integridad, madurez, ausencia de contaminación, condiciones de empaque y almacenamiento.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Analiza la aptitud del producto para su comercialización mediante criterios de inocuidad, trazabilidad, vida útil, normativa aplicable y conclusiones sustentadas en fuentes académicas o técnicas.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_____ / 8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2026-09-26T01:03:36-05:00</dcterms:created>
  <dcterms:modified xsi:type="dcterms:W3CDTF">2026-09-26T01:03:36-05:00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