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el Desarrollo de la Competencia Sensitiva en Música: Acercamiento al Bambuco Colombiano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si el estudiante ha experimentado y expresado adecuadamente la música del bambuco colombiano de la región Andina a través de la escucha, el movimiento y la evocación emocional. Está diseñada para estudiantes de primaria (6-11 años) y busca propiciar su conexión con manifestaciones musicales de su entorno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el Desarrollo de la Competencia Sensitiva en Música: Acercamiento al Bambuco Colombiano</w:t>
      </w:r>
    </w:p>
    <w:p>
      <w:pPr/>
      <w:r>
        <w:rPr/>
        <w:t xml:space="preserve">Esta lista de verificación evalúa si el estudiante ha experimentado y expresado adecuadamente la música del bambuco colombiano de la región Andina a través de la escucha, el movimiento y la evocación emocional. Está diseñada para estudiantes de primaria (6-11 años) y busca propiciar su conexión con manifestaciones musicales de su entorno cultural.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atenta y prolongada de una pieza de bambuco colombiano.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diferenciación de los sonidos característicos del bambuco (instrumentos, ritmo).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movimiento o danza relacionadas con el bambuco.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o gráfica de imágenes evocadas durante la escucha musical.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Manifestación de emociones o sentimientos relacionados con la experiencia musical del bambuco.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del bambuco con elementos naturales, sociales o culturales de la región Andina.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atención durante las actividades grupales vinculadas al bambuco.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curiosidad demostrados para conocer más sobre el bambuco y su contexto cultural.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2026-09-26T00:13:14-05:00</dcterms:created>
  <dcterms:modified xsi:type="dcterms:W3CDTF">2026-09-26T00:13:14-05:00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