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Angustia Existencial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media (15-17 años) en torno a los temas de convivencia escolar, relación con el otro, alteridad y conocimiento de sí mismo, en el contexto de la angustia existencial.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Angustia Existencial en Educación Religiosa</w:t>
      </w:r>
    </w:p>
    <w:p>
      <w:pPr/>
      <w:r>
        <w:rPr/>
        <w:t xml:space="preserve">Esta lista de verificación está diseñada para evaluar el trabajo de estudiantes de media (15-17 años) en torno a los temas de convivencia escolar, relación con el otro, alteridad y conocimiento de sí mismo, en el contexto de la angustia existencial.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clara del concepto de angustia existencial y su impacto en la convivencia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reflexión sobre la importancia de la relación con el otro para afrontar la angustia existencial.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situaciones que muestran respeto y reconocimiento de la alteridad.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expresa autoconocimiento relacionado con sus propias emociones y pensamientos frente a la angustia existencial.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promueve la empatía y la comprensión hacia las experiencias ajenas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fomenta actitudes positivas para la convivencia pacífica y respetuosa en el entorno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ideas están organizadas de forma coherente y muestran un desarrollo lógico de los temas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respetuoso, claro y adecuado para la expresión de conceptos éticos y religiosos.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2026-09-26T04:08:12-05:00</dcterms:created>
  <dcterms:modified xsi:type="dcterms:W3CDTF">2026-09-26T04:08:12-05:00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