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Competencia Sensitiva Artística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desarrollo de la competencia sensitiva artística musical en estudiantes de primaria (6-11 años). Se enfoca en aspectos clave del aprendizaje musical, promoviendo la inclusión, la equidad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Competencia Sensitiva Artística Musical</w:t>
      </w:r>
    </w:p>
    <w:p>
      <w:pPr/>
      <w:r>
        <w:rPr/>
        <w:t xml:space="preserve">Esta lista de verificación está diseñada para evaluar el desarrollo de la competencia sensitiva artística musical en estudiantes de primaria (6-11 años). Se enfoca en aspectos clave del aprendizaje musical, promoviendo la inclusión, la equidad y el respeto a la diversidad.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distingue diferentes sonidos y ritmos en una pieza musical.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musicales, mostrando interés y entusiasmo.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las expresiones musicales de sus compañeros, valorando la diversidad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el cuerpo o instrumentos para reproducir ritmos con coordinación y ritmo básico.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emociones o sensaciones a través de la interpretación musical.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sigue las indicaciones del docente durante la actividad musical, mostrando inclusión y colaboración.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valora músicas de diferentes culturas y contextos, promoviendo la equidad y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autonomía para elegir sonidos o instrumentos que le gusten, respetando sus preferencias personales y las de los demás.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2026-09-26T01:37:23-05:00</dcterms:created>
  <dcterms:modified xsi:type="dcterms:W3CDTF">2026-09-26T01:37:23-05:00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