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estudiantes de primaria para recibir, responder e integrar estímulos sensoriales y afectivos a través de la música. Cada criterio debe marcarse con "Sí" o "No" según la presencia en el trabajo o desempeño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la Competencia Sensitiva en Música</w:t>
      </w:r>
    </w:p>
    <w:p>
      <w:pPr/>
      <w:r>
        <w:rPr/>
        <w:t xml:space="preserve">Esta lista de verificación evalúa la capacidad de los estudiantes de primaria para recibir, responder e integrar estímulos sensoriales y afectivos a través de la música. Cada criterio debe marcarse con "Sí" o "No" según la presencia en el trabajo o desempeño del alumno.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Escucha atentamente la pieza musical asignada.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Muestra una respuesta emocional adecuada (alegría, tristeza, sorpresa, etc.) durante la actividad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y diferencia sonidos o instrumentos presentes en la música.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en actividades rítmicas o vocales relacionadas con la música.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Expresa mediante movimientos corporales o gestos sensaciones provocadas por la música.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Relaciona la música con experiencias o sentimientos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interés y curiosidad por explorar nuevos sonidos o estilos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 elementos sensoriales y afectivos para crear una breve interpretación musical o artística.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2026-09-26T03:21:03-05:00</dcterms:created>
  <dcterms:modified xsi:type="dcterms:W3CDTF">2026-09-26T03:21:03-05:00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