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Desarrollo de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percepción sensorial, la resonancia emocional y el reconocimiento empático del entorno social, natural y de los objetos artísticos en estudiantes de primaria (6-11 años) durante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Desarrollo de la Competencia Sensitiva en Música</w:t>
      </w:r>
    </w:p>
    <w:p>
      <w:pPr/>
      <w:r>
        <w:rPr/>
        <w:t xml:space="preserve">Esta lista de verificación está diseñada para evaluar la capacidad de percepción sensorial, la resonancia emocional y el reconocimiento empático del entorno social, natural y de los objetos artísticos en estudiantes de primaria (6-11 años) durante actividades musicales.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diferencia sonidos provenientes del entorno social y natural.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emociones que le genera una pieza musical.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concentración al escuchar sonidos o música.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a través de palabras o gestos la resonancia emocional que siente con la música.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relacionar sonidos o música con situaciones o personas de su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que involucren la exploración de sonidos y objetos artísticos.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describir sensaciones y emociones musicales.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relación entre música y elementos del entorno natural o social.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2026-09-26T04:04:21-05:00</dcterms:created>
  <dcterms:modified xsi:type="dcterms:W3CDTF">2026-09-26T04:04:21-05:00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