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en Guaraní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guaraní en estudiantes de secundaria (12-15 años). Se enfoca en identificar fortalezas y áreas de mejora en diferentes criterios,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en Guaraní</w:t>
      </w:r>
    </w:p>
    <w:p>
      <w:pPr/>
      <w:r>
        <w:rPr/>
        <w:t xml:space="preserve">Esta rúbrica está diseñada para evaluar la comprensión lectora de textos narrativos en guaraní en estudiantes de secundaria (12-15 años). Se enfoca en identificar fortalezas y áreas de mejora en diferentes criterios, incluyendo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principal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y los detalles relevantes del texto narrativo en guaraní sin dificultades.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 y algunos detalles relevantes, con ligeras confusiones o ausencias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idea principal y los detalles clave, mostrando una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características y motivaciones de los personajes, mostrando una interpretación profunda y coherente.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básicas y motivaciones de los personajes, aunque con interpretaciones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motivaciones o características de los personajes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contexto cultural y social implícito en el texto guaraní, relacionándolo adecuadamente con la narrativa.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contexto cultural y social, aunque con interpretaciones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contexto cultural y social presente en el texto, afectando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guaraní para explicar ideas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en guaraní para expresar ideas y responder preguntas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en guaraní adecuado pero limitado, con algunos términos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muy limitado o incorrecto en guaraní, dificultando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 y su función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los recursos literarios presentes en el texto y cómo contribuyen a la narrativa.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recursos literarios o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reflejada en los textos</w:t>
            </w:r>
          </w:p>
        </w:tc>
        <w:tc>
          <w:tcPr>
            <w:noWrap/>
          </w:tcPr>
          <w:p>
            <w:pPr/>
            <w:r>
              <w:rPr/>
              <w:t xml:space="preserve">Manifiesta un respeto profundo y valoración de las distintas culturas y tradiciones presentes en la literatura guaraní.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básica hacia la diversidad cultural, aunque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la diversidad cultural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lectoras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un ambiente inclusivo que respeta todas las voces y perspectivas.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respetando la diversidad de opiniones,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excluyente, dificultando la inclusión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contenido con experiencias personales y contextos diversos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y contextos diversos con profundidad, mostrando empatía y comprensión amplia.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entre el texto y experiencias personales o contextos variados,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contenido del texto con experiencias propias o contextos diversos, limitando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2026-09-25T19:42:47-05:00</dcterms:created>
  <dcterms:modified xsi:type="dcterms:W3CDTF">2026-09-25T19:42:47-05:00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