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Clasificación de Animales Vivíparos, Ovíparos y Ovovivíparos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en la identificación y clasificación de animales según sus características de reproducción, promoviendo la comprensión inclusiva y respetuosa de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Clasificación de Animales Vivíparos, Ovíparos y Ovovivíparos</w:t>
      </w:r>
    </w:p>
    <w:p>
      <w:pPr/>
      <w:r>
        <w:rPr/>
        <w:t xml:space="preserve">Esta rúbrica está diseñada para evaluar el trabajo de los estudiantes de primaria en la identificación y clasificación de animales según sus características de reproducción, promoviendo la comprensión inclusiva y respetuosa de la diversidad biológica y 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vivíparos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mayoría de los animales vivíparos presentados, demostrando comprensión clara de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adecuadamente la mayoría de los animales ovíparos y sus formas de reproducción.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ovovivíparos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correctamente los animales ovovivíparos, mostrando entendimiento de esta categoría particular.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clasificaciones claras y presentadas de forma comprensible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científicos y comunes adecuados para su nivel,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una actitud respetuosa hacia la diversidad de animales y reconoce la importancia de todas las formas de vida sin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es trabajo en grupo)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 con sus compañeros, valorando todas las ideas y contribuciones para enriquecer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 trabajo con ideas creativas, usando recursos visuales o ejemplos que facilitan la comprensión y el interés.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2026-09-26T03:17:32-05:00</dcterms:created>
  <dcterms:modified xsi:type="dcterms:W3CDTF">2026-09-26T03:17:32-05:00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