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Proceso de Independencia del Paraguay y las Revoluciones Europeas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integral de los estudiantes de media (15-17 años) sobre el surgimiento del Estado paraguayo en el contexto de las revoluciones europeas, analizando el proceso que condujo a la independencia y conformación del Estado paraguayo, con atención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Proceso de Independencia del Paraguay y las Revoluciones Europeas</w:t>
      </w:r>
    </w:p>
    <w:p>
      <w:pPr/>
      <w:r>
        <w:rPr/>
        <w:t xml:space="preserve">Esta rúbrica está diseñada para valorar la comprensión integral de los estudiantes de media (15-17 años) sobre el surgimiento del Estado paraguayo en el contexto de las revoluciones europeas, analizando el proceso que condujo a la independencia y conformación del Estado paraguayo, con atención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histórico de la independencia del Paraguay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del proceso de independencia, identificando causas, eventos y consecuencias claves con precisión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las revoluciones europeas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proceso paraguayo con las revoluciones europeas, mostrando comprensión del contexto global y sus influencias.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conformación del Estado paraguayo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cómo se conformó el Estado paraguayo tras la independencia, incluyendo sus retos iniciales.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que va más allá de la descripción, evaluando causas y efectos y mostrando pensamiento autónomo.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evidencia histórica relevante que respalde 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de género en el análisis del proceso histórico, promoviendo una visión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Demuestra iniciativa, autonomía y compromiso en la elaboración del trabajo, aportando ideas originales y participación activa.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2026-09-26T01:35:56-05:00</dcterms:created>
  <dcterms:modified xsi:type="dcterms:W3CDTF">2026-09-26T01:35:56-05:00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